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25715AAE" w:rsidR="000F3C3E" w:rsidRPr="00CD79DB" w:rsidRDefault="000F3C3E" w:rsidP="000F3C3E">
      <w:pPr>
        <w:pStyle w:val="Header"/>
        <w:tabs>
          <w:tab w:val="right" w:pos="9639"/>
        </w:tabs>
        <w:jc w:val="both"/>
        <w:rPr>
          <w:rFonts w:cs="Arial"/>
          <w:bCs/>
          <w:i/>
          <w:noProof w:val="0"/>
          <w:sz w:val="24"/>
          <w:szCs w:val="24"/>
          <w:lang w:val="de-DE"/>
        </w:rPr>
      </w:pPr>
      <w:r w:rsidRPr="00CD79DB">
        <w:rPr>
          <w:rFonts w:cs="Arial"/>
          <w:bCs/>
          <w:noProof w:val="0"/>
          <w:sz w:val="24"/>
          <w:szCs w:val="24"/>
          <w:lang w:val="de-DE"/>
        </w:rPr>
        <w:t>3GPP T</w:t>
      </w:r>
      <w:bookmarkStart w:id="0" w:name="_Ref452454252"/>
      <w:bookmarkEnd w:id="0"/>
      <w:r w:rsidRPr="00CD79DB">
        <w:rPr>
          <w:rFonts w:cs="Arial"/>
          <w:bCs/>
          <w:noProof w:val="0"/>
          <w:sz w:val="24"/>
          <w:szCs w:val="24"/>
          <w:lang w:val="de-DE"/>
        </w:rPr>
        <w:t xml:space="preserve">SG-RAN </w:t>
      </w:r>
      <w:r w:rsidRPr="00CD79DB">
        <w:rPr>
          <w:rFonts w:cs="Arial"/>
          <w:noProof w:val="0"/>
          <w:sz w:val="24"/>
          <w:szCs w:val="24"/>
          <w:lang w:val="de-DE"/>
        </w:rPr>
        <w:t>WG3#</w:t>
      </w:r>
      <w:r w:rsidR="00572BB8" w:rsidRPr="00CD79DB">
        <w:rPr>
          <w:rFonts w:cs="Arial"/>
          <w:noProof w:val="0"/>
          <w:sz w:val="24"/>
          <w:szCs w:val="24"/>
          <w:lang w:val="de-DE"/>
        </w:rPr>
        <w:t>1</w:t>
      </w:r>
      <w:r w:rsidR="00EA6EBB" w:rsidRPr="00CD79DB">
        <w:rPr>
          <w:rFonts w:cs="Arial"/>
          <w:noProof w:val="0"/>
          <w:sz w:val="24"/>
          <w:szCs w:val="24"/>
          <w:lang w:val="de-DE"/>
        </w:rPr>
        <w:t>17</w:t>
      </w:r>
      <w:r w:rsidR="00987B0E" w:rsidRPr="00CD79DB">
        <w:rPr>
          <w:rFonts w:cs="Arial"/>
          <w:noProof w:val="0"/>
          <w:sz w:val="24"/>
          <w:szCs w:val="24"/>
          <w:lang w:val="de-DE"/>
        </w:rPr>
        <w:t>bis-e</w:t>
      </w:r>
      <w:r w:rsidR="004A200B" w:rsidRPr="00CD79DB">
        <w:rPr>
          <w:rFonts w:cs="Arial"/>
          <w:bCs/>
          <w:noProof w:val="0"/>
          <w:sz w:val="24"/>
          <w:szCs w:val="24"/>
          <w:lang w:val="de-DE"/>
        </w:rPr>
        <w:tab/>
      </w:r>
      <w:r w:rsidR="003E5F28" w:rsidRPr="00CD79DB">
        <w:rPr>
          <w:rFonts w:cs="Arial"/>
          <w:bCs/>
          <w:noProof w:val="0"/>
          <w:sz w:val="24"/>
          <w:szCs w:val="24"/>
          <w:lang w:val="de-DE"/>
        </w:rPr>
        <w:t>R3-</w:t>
      </w:r>
      <w:r w:rsidR="00EA6EBB" w:rsidRPr="00CD79DB">
        <w:rPr>
          <w:rFonts w:cs="Arial"/>
          <w:bCs/>
          <w:noProof w:val="0"/>
          <w:sz w:val="24"/>
          <w:szCs w:val="24"/>
          <w:lang w:val="de-DE"/>
        </w:rPr>
        <w:t>22</w:t>
      </w:r>
      <w:r w:rsidR="00FE0650">
        <w:rPr>
          <w:rFonts w:cs="Arial"/>
          <w:bCs/>
          <w:noProof w:val="0"/>
          <w:sz w:val="24"/>
          <w:szCs w:val="24"/>
          <w:lang w:val="de-DE"/>
        </w:rPr>
        <w:t>5574</w:t>
      </w:r>
    </w:p>
    <w:p w14:paraId="7FEE69F1" w14:textId="3E184FDB" w:rsidR="000F3C3E" w:rsidRDefault="00EA6EBB" w:rsidP="000F3C3E">
      <w:pPr>
        <w:pStyle w:val="Header"/>
        <w:jc w:val="both"/>
        <w:rPr>
          <w:rFonts w:eastAsia="MS Mincho" w:cs="Arial"/>
          <w:noProof w:val="0"/>
          <w:sz w:val="24"/>
          <w:szCs w:val="24"/>
        </w:rPr>
      </w:pPr>
      <w:r>
        <w:rPr>
          <w:rFonts w:eastAsia="MS Mincho" w:cs="Arial"/>
          <w:noProof w:val="0"/>
          <w:sz w:val="24"/>
          <w:szCs w:val="24"/>
        </w:rPr>
        <w:t xml:space="preserve">Online, </w:t>
      </w:r>
      <w:r w:rsidR="00987B0E">
        <w:rPr>
          <w:rFonts w:eastAsia="MS Mincho" w:cs="Arial"/>
          <w:noProof w:val="0"/>
          <w:sz w:val="24"/>
          <w:szCs w:val="24"/>
        </w:rPr>
        <w:t>October 10-18</w:t>
      </w:r>
      <w:proofErr w:type="gramStart"/>
      <w:r w:rsidR="00373826">
        <w:rPr>
          <w:rFonts w:eastAsia="MS Mincho" w:cs="Arial"/>
          <w:noProof w:val="0"/>
          <w:sz w:val="24"/>
          <w:szCs w:val="24"/>
        </w:rPr>
        <w:t xml:space="preserve"> </w:t>
      </w:r>
      <w:r w:rsidR="0063292C">
        <w:rPr>
          <w:rFonts w:eastAsia="MS Mincho" w:cs="Arial"/>
          <w:noProof w:val="0"/>
          <w:sz w:val="24"/>
          <w:szCs w:val="24"/>
        </w:rPr>
        <w:t>20</w:t>
      </w:r>
      <w:r>
        <w:rPr>
          <w:rFonts w:eastAsia="MS Mincho" w:cs="Arial"/>
          <w:noProof w:val="0"/>
          <w:sz w:val="24"/>
          <w:szCs w:val="24"/>
        </w:rPr>
        <w:t>22</w:t>
      </w:r>
      <w:proofErr w:type="gramEnd"/>
    </w:p>
    <w:p w14:paraId="7863423A" w14:textId="77777777" w:rsidR="000F3C3E" w:rsidRPr="00B704B9" w:rsidRDefault="000F3C3E" w:rsidP="000F3C3E">
      <w:pPr>
        <w:pStyle w:val="Header"/>
        <w:tabs>
          <w:tab w:val="left" w:pos="2410"/>
        </w:tabs>
        <w:rPr>
          <w:bCs/>
          <w:noProof w:val="0"/>
          <w:sz w:val="24"/>
        </w:rPr>
      </w:pPr>
    </w:p>
    <w:p w14:paraId="12F098B2" w14:textId="77777777" w:rsidR="000F3C3E" w:rsidRPr="00B704B9" w:rsidRDefault="000F3C3E" w:rsidP="000F3C3E">
      <w:pPr>
        <w:pStyle w:val="CRCoverPage"/>
        <w:tabs>
          <w:tab w:val="left" w:pos="1985"/>
          <w:tab w:val="left" w:pos="2410"/>
        </w:tabs>
        <w:rPr>
          <w:rFonts w:cs="Arial"/>
          <w:b/>
          <w:bCs/>
          <w:sz w:val="24"/>
          <w:lang w:eastAsia="ja-JP"/>
        </w:rPr>
      </w:pPr>
      <w:r w:rsidRPr="00FE0650">
        <w:rPr>
          <w:rFonts w:cs="Arial"/>
          <w:b/>
          <w:bCs/>
          <w:sz w:val="24"/>
        </w:rPr>
        <w:t>Agenda item:</w:t>
      </w:r>
      <w:r w:rsidR="00944BB6" w:rsidRPr="00FE0650">
        <w:rPr>
          <w:rFonts w:cs="Arial"/>
          <w:b/>
          <w:bCs/>
          <w:sz w:val="24"/>
        </w:rPr>
        <w:tab/>
      </w:r>
      <w:r w:rsidR="00702D2C" w:rsidRPr="00FE0650">
        <w:rPr>
          <w:rFonts w:cs="Arial"/>
          <w:b/>
          <w:bCs/>
          <w:sz w:val="24"/>
        </w:rPr>
        <w:t xml:space="preserve">14.2 </w:t>
      </w:r>
      <w:proofErr w:type="spellStart"/>
      <w:r w:rsidR="00702D2C" w:rsidRPr="00FE0650">
        <w:rPr>
          <w:rFonts w:cs="Arial"/>
          <w:b/>
          <w:bCs/>
          <w:sz w:val="24"/>
        </w:rPr>
        <w:t>Signaling</w:t>
      </w:r>
      <w:proofErr w:type="spellEnd"/>
      <w:r w:rsidR="00702D2C" w:rsidRPr="00FE0650">
        <w:rPr>
          <w:rFonts w:cs="Arial"/>
          <w:b/>
          <w:bCs/>
          <w:sz w:val="24"/>
        </w:rPr>
        <w:t xml:space="preserve"> Support for L1/L2 based Inter-Cell Mobility</w:t>
      </w:r>
    </w:p>
    <w:p w14:paraId="331E8E4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643FFD2" w14:textId="6506ACAD"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E1F1F">
        <w:rPr>
          <w:rFonts w:ascii="Arial" w:hAnsi="Arial" w:cs="Arial"/>
          <w:b/>
          <w:bCs/>
          <w:sz w:val="24"/>
        </w:rPr>
        <w:t>Discussion on</w:t>
      </w:r>
      <w:r w:rsidR="006C790C">
        <w:rPr>
          <w:rFonts w:ascii="Arial" w:hAnsi="Arial" w:cs="Arial"/>
          <w:b/>
          <w:bCs/>
          <w:sz w:val="24"/>
        </w:rPr>
        <w:t xml:space="preserve"> Additional Considerations for </w:t>
      </w:r>
      <w:r w:rsidR="00702D2C">
        <w:rPr>
          <w:rFonts w:ascii="Arial" w:hAnsi="Arial" w:cs="Arial"/>
          <w:b/>
          <w:bCs/>
          <w:sz w:val="24"/>
        </w:rPr>
        <w:t xml:space="preserve">L1/L2 </w:t>
      </w:r>
      <w:r w:rsidR="00DC1C8B">
        <w:rPr>
          <w:rFonts w:ascii="Arial" w:hAnsi="Arial" w:cs="Arial"/>
          <w:b/>
          <w:bCs/>
          <w:sz w:val="24"/>
        </w:rPr>
        <w:t xml:space="preserve">Inter-Cell </w:t>
      </w:r>
      <w:r w:rsidR="00702D2C">
        <w:rPr>
          <w:rFonts w:ascii="Arial" w:hAnsi="Arial" w:cs="Arial"/>
          <w:b/>
          <w:bCs/>
          <w:sz w:val="24"/>
        </w:rPr>
        <w:t xml:space="preserve">Mobility </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1EF4F98A" w14:textId="77777777" w:rsidR="0063292C" w:rsidRDefault="0063292C" w:rsidP="000F3C3E">
      <w:pPr>
        <w:tabs>
          <w:tab w:val="left" w:pos="1985"/>
          <w:tab w:val="left" w:pos="2410"/>
        </w:tabs>
        <w:rPr>
          <w:rFonts w:ascii="Arial" w:hAnsi="Arial" w:cs="Arial"/>
          <w:b/>
          <w:bCs/>
          <w:sz w:val="24"/>
        </w:rPr>
      </w:pPr>
    </w:p>
    <w:p w14:paraId="3715F362" w14:textId="77777777" w:rsidR="0063292C" w:rsidRDefault="0063292C" w:rsidP="0063292C">
      <w:pPr>
        <w:pStyle w:val="Heading1"/>
        <w:tabs>
          <w:tab w:val="left" w:pos="2410"/>
        </w:tabs>
      </w:pPr>
      <w:r w:rsidRPr="00B704B9">
        <w:t>1</w:t>
      </w:r>
      <w:r w:rsidRPr="00B704B9">
        <w:tab/>
        <w:t>Introduction</w:t>
      </w:r>
    </w:p>
    <w:p w14:paraId="4335960F" w14:textId="4888C849" w:rsidR="00DC1C8B" w:rsidRDefault="00495D58" w:rsidP="0063292C">
      <w:bookmarkStart w:id="1" w:name="_Toc474247438"/>
      <w:r>
        <w:t xml:space="preserve">At </w:t>
      </w:r>
      <w:r w:rsidR="00DC1C8B">
        <w:t xml:space="preserve">RAN3#117-e, </w:t>
      </w:r>
      <w:r>
        <w:t>L1/L2 centric mobility (</w:t>
      </w:r>
      <w:r w:rsidRPr="00702D2C">
        <w:t>RP-221799</w:t>
      </w:r>
      <w:r>
        <w:t xml:space="preserve"> Further NR Mobility Enhancements) was discussed focusing on intra-gNB-DU inter-cell mobility scenarios, with </w:t>
      </w:r>
      <w:r w:rsidR="00DC1C8B">
        <w:t xml:space="preserve">some agreements </w:t>
      </w:r>
      <w:r>
        <w:t>r</w:t>
      </w:r>
      <w:r w:rsidR="00DC1C8B">
        <w:t xml:space="preserve">eached, </w:t>
      </w:r>
      <w:r>
        <w:t xml:space="preserve">and </w:t>
      </w:r>
      <w:r w:rsidR="00DC1C8B">
        <w:t>several items left as FFS (summary of discussion at R3-225082).</w:t>
      </w:r>
    </w:p>
    <w:p w14:paraId="42786492" w14:textId="2191FE04" w:rsidR="006C790C" w:rsidRDefault="006C790C" w:rsidP="0063292C">
      <w:r>
        <w:t>In this contribution, additional considerations for both the intra-gNB-DU and inter-gNB-DU scenarios are discussed.</w:t>
      </w:r>
    </w:p>
    <w:p w14:paraId="596343C6" w14:textId="41CC4666" w:rsidR="00DC1C8B" w:rsidRDefault="00DC1C8B" w:rsidP="00DC1C8B"/>
    <w:p w14:paraId="54B596F6" w14:textId="5710A93C" w:rsidR="007F35B9" w:rsidRPr="007F35B9" w:rsidRDefault="007F35B9" w:rsidP="00DC1C8B">
      <w:pPr>
        <w:rPr>
          <w:b/>
          <w:bCs/>
        </w:rPr>
      </w:pPr>
      <w:bookmarkStart w:id="2" w:name="_Hlk114061221"/>
      <w:r>
        <w:rPr>
          <w:b/>
          <w:bCs/>
        </w:rPr>
        <w:t>Chair’s Notes Excerpt (RAN3#117-e)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1C8B" w14:paraId="07A33583" w14:textId="77777777" w:rsidTr="00DC6099">
        <w:tc>
          <w:tcPr>
            <w:tcW w:w="9855" w:type="dxa"/>
            <w:shd w:val="clear" w:color="auto" w:fill="auto"/>
          </w:tcPr>
          <w:bookmarkEnd w:id="2"/>
          <w:p w14:paraId="77A004D8" w14:textId="77777777" w:rsidR="00DC1C8B" w:rsidRPr="00EA5774" w:rsidRDefault="00DC1C8B" w:rsidP="00DC1C8B">
            <w:pPr>
              <w:rPr>
                <w:rFonts w:ascii="Calibri" w:hAnsi="Calibri" w:cs="Calibri"/>
                <w:b/>
                <w:bCs/>
                <w:i/>
                <w:iCs/>
                <w:color w:val="000000"/>
                <w:sz w:val="18"/>
                <w:u w:val="single"/>
              </w:rPr>
            </w:pPr>
            <w:r w:rsidRPr="00EA5774">
              <w:rPr>
                <w:rFonts w:ascii="Calibri" w:hAnsi="Calibri" w:cs="Calibri"/>
                <w:b/>
                <w:bCs/>
                <w:i/>
                <w:iCs/>
                <w:color w:val="000000"/>
                <w:sz w:val="18"/>
                <w:szCs w:val="18"/>
                <w:u w:val="single"/>
              </w:rPr>
              <w:t>Scenarios, use cases, principles, and general concepts:</w:t>
            </w:r>
          </w:p>
          <w:p w14:paraId="50E6C290" w14:textId="77777777" w:rsidR="00DC1C8B" w:rsidRPr="00FB5E21" w:rsidRDefault="00DC1C8B" w:rsidP="00DC1C8B">
            <w:pPr>
              <w:rPr>
                <w:rFonts w:ascii="Calibri" w:hAnsi="Calibri" w:cs="Calibri"/>
                <w:b/>
                <w:bCs/>
                <w:i/>
                <w:iCs/>
                <w:color w:val="008000"/>
                <w:sz w:val="18"/>
              </w:rPr>
            </w:pPr>
            <w:r w:rsidRPr="00FB5E21">
              <w:rPr>
                <w:rFonts w:ascii="Calibri" w:hAnsi="Calibri" w:cs="Calibri"/>
                <w:b/>
                <w:bCs/>
                <w:i/>
                <w:iCs/>
                <w:color w:val="008000"/>
                <w:sz w:val="18"/>
              </w:rPr>
              <w:t>Both intra- DU and intra-CU inter-DU scenarios are supported for L1/L2 mobility.</w:t>
            </w:r>
          </w:p>
          <w:p w14:paraId="3FC2DDF6" w14:textId="77777777" w:rsidR="00DC1C8B" w:rsidRPr="00FB5E21" w:rsidRDefault="00DC1C8B" w:rsidP="00DC1C8B">
            <w:pPr>
              <w:rPr>
                <w:rFonts w:ascii="Calibri" w:hAnsi="Calibri" w:cs="Calibri"/>
                <w:b/>
                <w:bCs/>
                <w:i/>
                <w:iCs/>
                <w:color w:val="008000"/>
                <w:sz w:val="18"/>
              </w:rPr>
            </w:pPr>
            <w:r w:rsidRPr="00FB5E21">
              <w:rPr>
                <w:rFonts w:ascii="Calibri" w:hAnsi="Calibri" w:cs="Calibri"/>
                <w:b/>
                <w:bCs/>
                <w:i/>
                <w:iCs/>
                <w:color w:val="008000"/>
                <w:sz w:val="18"/>
              </w:rPr>
              <w:t xml:space="preserve">RAN3 will study the </w:t>
            </w:r>
            <w:proofErr w:type="spellStart"/>
            <w:r w:rsidRPr="00FB5E21">
              <w:rPr>
                <w:rFonts w:ascii="Calibri" w:hAnsi="Calibri" w:cs="Calibri"/>
                <w:b/>
                <w:bCs/>
                <w:i/>
                <w:iCs/>
                <w:color w:val="008000"/>
                <w:sz w:val="18"/>
              </w:rPr>
              <w:t>signaling</w:t>
            </w:r>
            <w:proofErr w:type="spellEnd"/>
            <w:r w:rsidRPr="00FB5E21">
              <w:rPr>
                <w:rFonts w:ascii="Calibri" w:hAnsi="Calibri" w:cs="Calibri"/>
                <w:b/>
                <w:bCs/>
                <w:i/>
                <w:iCs/>
                <w:color w:val="008000"/>
                <w:sz w:val="18"/>
              </w:rPr>
              <w:t xml:space="preserve"> impacts on below use cases following to RAN2 prioritization:</w:t>
            </w:r>
          </w:p>
          <w:p w14:paraId="31CA036E" w14:textId="77777777" w:rsidR="00DC1C8B" w:rsidRPr="00FB5E21" w:rsidRDefault="00DC1C8B" w:rsidP="00DC1C8B">
            <w:pPr>
              <w:numPr>
                <w:ilvl w:val="0"/>
                <w:numId w:val="18"/>
              </w:numPr>
              <w:overflowPunct w:val="0"/>
              <w:autoSpaceDE w:val="0"/>
              <w:autoSpaceDN w:val="0"/>
              <w:adjustRightInd w:val="0"/>
              <w:spacing w:before="100" w:beforeAutospacing="1"/>
              <w:textAlignment w:val="baseline"/>
              <w:rPr>
                <w:rFonts w:ascii="Calibri" w:hAnsi="Calibri" w:cs="Calibri"/>
                <w:b/>
                <w:bCs/>
                <w:i/>
                <w:iCs/>
                <w:color w:val="008000"/>
                <w:sz w:val="18"/>
              </w:rPr>
            </w:pPr>
            <w:r w:rsidRPr="00FB5E21">
              <w:rPr>
                <w:rFonts w:ascii="Calibri" w:hAnsi="Calibri" w:cs="Calibri"/>
                <w:b/>
                <w:bCs/>
                <w:i/>
                <w:iCs/>
                <w:color w:val="008000"/>
                <w:sz w:val="18"/>
              </w:rPr>
              <w:t>Stand alone</w:t>
            </w:r>
          </w:p>
          <w:p w14:paraId="2DF25D5E" w14:textId="77777777" w:rsidR="00DC1C8B" w:rsidRPr="00FB5E21" w:rsidRDefault="00DC1C8B" w:rsidP="00DC1C8B">
            <w:pPr>
              <w:numPr>
                <w:ilvl w:val="0"/>
                <w:numId w:val="19"/>
              </w:numPr>
              <w:overflowPunct w:val="0"/>
              <w:autoSpaceDE w:val="0"/>
              <w:autoSpaceDN w:val="0"/>
              <w:adjustRightInd w:val="0"/>
              <w:spacing w:before="100" w:beforeAutospacing="1"/>
              <w:textAlignment w:val="baseline"/>
              <w:rPr>
                <w:rFonts w:ascii="Calibri" w:eastAsia="DengXian" w:hAnsi="Calibri" w:cs="Calibri"/>
                <w:b/>
                <w:bCs/>
                <w:i/>
                <w:iCs/>
                <w:strike/>
                <w:color w:val="008000"/>
                <w:sz w:val="18"/>
              </w:rPr>
            </w:pPr>
            <w:r w:rsidRPr="00FB5E21">
              <w:rPr>
                <w:rFonts w:ascii="Calibri" w:hAnsi="Calibri" w:cs="Calibri"/>
                <w:b/>
                <w:bCs/>
                <w:i/>
                <w:iCs/>
                <w:color w:val="008000"/>
                <w:sz w:val="18"/>
              </w:rPr>
              <w:t xml:space="preserve">Carrier Aggregation (Change of </w:t>
            </w:r>
            <w:proofErr w:type="spellStart"/>
            <w:r w:rsidRPr="00FB5E21">
              <w:rPr>
                <w:rFonts w:ascii="Calibri" w:hAnsi="Calibri" w:cs="Calibri"/>
                <w:b/>
                <w:bCs/>
                <w:i/>
                <w:iCs/>
                <w:color w:val="008000"/>
                <w:sz w:val="18"/>
              </w:rPr>
              <w:t>PCell</w:t>
            </w:r>
            <w:proofErr w:type="spellEnd"/>
            <w:r w:rsidRPr="00FB5E21">
              <w:rPr>
                <w:rFonts w:ascii="Calibri" w:hAnsi="Calibri" w:cs="Calibri"/>
                <w:b/>
                <w:bCs/>
                <w:i/>
                <w:iCs/>
                <w:color w:val="008000"/>
                <w:sz w:val="18"/>
              </w:rPr>
              <w:t>)</w:t>
            </w:r>
          </w:p>
          <w:p w14:paraId="45F4A0C9" w14:textId="77777777" w:rsidR="00DC1C8B" w:rsidRPr="00FB5E21" w:rsidRDefault="00DC1C8B" w:rsidP="00DC1C8B">
            <w:pPr>
              <w:numPr>
                <w:ilvl w:val="0"/>
                <w:numId w:val="19"/>
              </w:numPr>
              <w:overflowPunct w:val="0"/>
              <w:autoSpaceDE w:val="0"/>
              <w:autoSpaceDN w:val="0"/>
              <w:adjustRightInd w:val="0"/>
              <w:spacing w:before="100" w:beforeAutospacing="1"/>
              <w:textAlignment w:val="baseline"/>
              <w:rPr>
                <w:rFonts w:ascii="Calibri" w:eastAsia="DengXian" w:hAnsi="Calibri" w:cs="Calibri"/>
                <w:b/>
                <w:bCs/>
                <w:i/>
                <w:iCs/>
                <w:strike/>
                <w:color w:val="008000"/>
                <w:sz w:val="18"/>
              </w:rPr>
            </w:pPr>
            <w:r w:rsidRPr="00FB5E21">
              <w:rPr>
                <w:rFonts w:ascii="Calibri" w:hAnsi="Calibri" w:cs="Calibri"/>
                <w:b/>
                <w:bCs/>
                <w:i/>
                <w:iCs/>
                <w:color w:val="008000"/>
                <w:sz w:val="18"/>
              </w:rPr>
              <w:t xml:space="preserve">NR-DC (Change of </w:t>
            </w:r>
            <w:proofErr w:type="spellStart"/>
            <w:r w:rsidRPr="00FB5E21">
              <w:rPr>
                <w:rFonts w:ascii="Calibri" w:hAnsi="Calibri" w:cs="Calibri"/>
                <w:b/>
                <w:bCs/>
                <w:i/>
                <w:iCs/>
                <w:color w:val="008000"/>
                <w:sz w:val="18"/>
              </w:rPr>
              <w:t>PCell</w:t>
            </w:r>
            <w:proofErr w:type="spellEnd"/>
            <w:r w:rsidRPr="00FB5E21">
              <w:rPr>
                <w:rFonts w:ascii="Calibri" w:hAnsi="Calibri" w:cs="Calibri"/>
                <w:b/>
                <w:bCs/>
                <w:i/>
                <w:iCs/>
                <w:color w:val="008000"/>
                <w:sz w:val="18"/>
              </w:rPr>
              <w:t xml:space="preserve"> at MN, Change of </w:t>
            </w:r>
            <w:proofErr w:type="spellStart"/>
            <w:r w:rsidRPr="00FB5E21">
              <w:rPr>
                <w:rFonts w:ascii="Calibri" w:hAnsi="Calibri" w:cs="Calibri"/>
                <w:b/>
                <w:bCs/>
                <w:i/>
                <w:iCs/>
                <w:color w:val="008000"/>
                <w:sz w:val="18"/>
              </w:rPr>
              <w:t>PScell</w:t>
            </w:r>
            <w:proofErr w:type="spellEnd"/>
            <w:r w:rsidRPr="00FB5E21">
              <w:rPr>
                <w:rFonts w:ascii="Calibri" w:hAnsi="Calibri" w:cs="Calibri"/>
                <w:b/>
                <w:bCs/>
                <w:i/>
                <w:iCs/>
                <w:color w:val="008000"/>
                <w:sz w:val="18"/>
              </w:rPr>
              <w:t xml:space="preserve"> at SN)</w:t>
            </w:r>
            <w:r w:rsidRPr="00FB5E21">
              <w:rPr>
                <w:rFonts w:ascii="Calibri" w:eastAsia="DengXian" w:hAnsi="Calibri" w:cs="Calibri"/>
                <w:b/>
                <w:bCs/>
                <w:i/>
                <w:iCs/>
                <w:strike/>
                <w:color w:val="008000"/>
                <w:sz w:val="18"/>
              </w:rPr>
              <w:t xml:space="preserve"> </w:t>
            </w:r>
          </w:p>
          <w:p w14:paraId="2CBD6411" w14:textId="27F573F3" w:rsidR="00DC1C8B" w:rsidRDefault="00DC1C8B" w:rsidP="00DC1C8B">
            <w:pPr>
              <w:rPr>
                <w:rFonts w:ascii="Calibri" w:hAnsi="Calibri" w:cs="Calibri"/>
                <w:b/>
                <w:bCs/>
                <w:i/>
                <w:iCs/>
                <w:color w:val="008000"/>
                <w:sz w:val="18"/>
              </w:rPr>
            </w:pPr>
            <w:r w:rsidRPr="00FB5E21">
              <w:rPr>
                <w:rFonts w:ascii="Calibri" w:hAnsi="Calibri" w:cs="Calibri"/>
                <w:b/>
                <w:bCs/>
                <w:i/>
                <w:iCs/>
                <w:color w:val="008000"/>
                <w:sz w:val="18"/>
              </w:rPr>
              <w:t xml:space="preserve">RAN3 will aim for a single solution for network </w:t>
            </w:r>
            <w:proofErr w:type="spellStart"/>
            <w:r w:rsidRPr="00FB5E21">
              <w:rPr>
                <w:rFonts w:ascii="Calibri" w:hAnsi="Calibri" w:cs="Calibri"/>
                <w:b/>
                <w:bCs/>
                <w:i/>
                <w:iCs/>
                <w:color w:val="008000"/>
                <w:sz w:val="18"/>
              </w:rPr>
              <w:t>signaling</w:t>
            </w:r>
            <w:proofErr w:type="spellEnd"/>
            <w:r w:rsidRPr="00FB5E21">
              <w:rPr>
                <w:rFonts w:ascii="Calibri" w:hAnsi="Calibri" w:cs="Calibri"/>
                <w:b/>
                <w:bCs/>
                <w:i/>
                <w:iCs/>
                <w:color w:val="008000"/>
                <w:sz w:val="18"/>
              </w:rPr>
              <w:t xml:space="preserve"> design on L1/L2 based inter-cell mobility to support all agreed scenarios. The details of solution are FFS.</w:t>
            </w:r>
          </w:p>
          <w:p w14:paraId="2D573EF6" w14:textId="77777777" w:rsidR="00EA5774" w:rsidRPr="00FB5E21" w:rsidRDefault="00EA5774" w:rsidP="00EA5774">
            <w:pPr>
              <w:rPr>
                <w:rFonts w:ascii="Calibri" w:hAnsi="Calibri" w:cs="Calibri"/>
                <w:b/>
                <w:bCs/>
                <w:i/>
                <w:iCs/>
                <w:color w:val="008000"/>
                <w:sz w:val="18"/>
                <w:szCs w:val="18"/>
              </w:rPr>
            </w:pPr>
            <w:r w:rsidRPr="00FB5E21">
              <w:rPr>
                <w:rFonts w:ascii="Calibri" w:hAnsi="Calibri" w:cs="Calibri"/>
                <w:b/>
                <w:bCs/>
                <w:i/>
                <w:iCs/>
                <w:color w:val="008000"/>
                <w:sz w:val="18"/>
                <w:szCs w:val="18"/>
              </w:rPr>
              <w:t>RAN3 focuses on the network-controlled procedure for L1/L2 based inter-cell mobility.</w:t>
            </w:r>
          </w:p>
          <w:p w14:paraId="63800A93" w14:textId="77777777" w:rsidR="00EA5774" w:rsidRDefault="00EA5774" w:rsidP="00DC1C8B">
            <w:pPr>
              <w:rPr>
                <w:rFonts w:ascii="Calibri" w:hAnsi="Calibri" w:cs="Calibri"/>
                <w:i/>
                <w:iCs/>
                <w:color w:val="000000"/>
                <w:sz w:val="18"/>
                <w:szCs w:val="18"/>
              </w:rPr>
            </w:pPr>
          </w:p>
          <w:p w14:paraId="076AF098" w14:textId="559C2D3B" w:rsidR="00DC1C8B" w:rsidRPr="00EA5774" w:rsidRDefault="00DC1C8B" w:rsidP="00DC1C8B">
            <w:pPr>
              <w:rPr>
                <w:rFonts w:ascii="Calibri" w:hAnsi="Calibri" w:cs="Calibri"/>
                <w:b/>
                <w:bCs/>
                <w:i/>
                <w:iCs/>
                <w:color w:val="000000"/>
                <w:sz w:val="18"/>
                <w:szCs w:val="18"/>
                <w:u w:val="single"/>
              </w:rPr>
            </w:pPr>
            <w:r w:rsidRPr="00EA5774">
              <w:rPr>
                <w:rFonts w:ascii="Calibri" w:hAnsi="Calibri" w:cs="Calibri"/>
                <w:b/>
                <w:bCs/>
                <w:i/>
                <w:iCs/>
                <w:color w:val="000000"/>
                <w:sz w:val="18"/>
                <w:szCs w:val="18"/>
                <w:u w:val="single"/>
              </w:rPr>
              <w:t>Intra-DU L1/L2 Handover Procedure</w:t>
            </w:r>
          </w:p>
          <w:p w14:paraId="2C9C9A36" w14:textId="77777777" w:rsidR="00DC1C8B" w:rsidRPr="00EA5774" w:rsidRDefault="00DC1C8B" w:rsidP="00DC1C8B">
            <w:pPr>
              <w:rPr>
                <w:rFonts w:ascii="Calibri" w:hAnsi="Calibri" w:cs="Calibri"/>
                <w:b/>
                <w:bCs/>
                <w:i/>
                <w:iCs/>
                <w:color w:val="000000"/>
                <w:sz w:val="18"/>
                <w:szCs w:val="18"/>
                <w:u w:val="single"/>
              </w:rPr>
            </w:pPr>
            <w:r w:rsidRPr="00EA5774">
              <w:rPr>
                <w:rFonts w:ascii="Calibri" w:hAnsi="Calibri" w:cs="Calibri"/>
                <w:b/>
                <w:bCs/>
                <w:i/>
                <w:iCs/>
                <w:color w:val="000000"/>
                <w:sz w:val="18"/>
                <w:szCs w:val="18"/>
                <w:u w:val="single"/>
              </w:rPr>
              <w:t>Handover preparation:</w:t>
            </w:r>
          </w:p>
          <w:p w14:paraId="1726FCB0" w14:textId="77777777" w:rsidR="00DC1C8B" w:rsidRPr="00FB5E21" w:rsidRDefault="00DC1C8B" w:rsidP="00DC1C8B">
            <w:pPr>
              <w:rPr>
                <w:rFonts w:ascii="Calibri" w:hAnsi="Calibri" w:cs="Calibri"/>
                <w:b/>
                <w:bCs/>
                <w:i/>
                <w:iCs/>
                <w:color w:val="008000"/>
                <w:sz w:val="18"/>
              </w:rPr>
            </w:pPr>
            <w:r w:rsidRPr="00FB5E21">
              <w:rPr>
                <w:rFonts w:ascii="Calibri" w:hAnsi="Calibri" w:cs="Calibri" w:hint="eastAsia"/>
                <w:b/>
                <w:bCs/>
                <w:i/>
                <w:iCs/>
                <w:color w:val="008000"/>
                <w:sz w:val="18"/>
              </w:rPr>
              <w:t>W</w:t>
            </w:r>
            <w:r w:rsidRPr="00FB5E21">
              <w:rPr>
                <w:rFonts w:ascii="Calibri" w:hAnsi="Calibri" w:cs="Calibri"/>
                <w:b/>
                <w:bCs/>
                <w:i/>
                <w:iCs/>
                <w:color w:val="008000"/>
                <w:sz w:val="18"/>
              </w:rPr>
              <w:t>A: For intra-DU L1/L2 mobility, the existing F1AP procedure (e.g., F1AP UE CONTEXT MODIFICATION) is reused for handover configuration for inter-cell mobility.</w:t>
            </w:r>
          </w:p>
          <w:p w14:paraId="67F09DD2" w14:textId="77777777" w:rsidR="00DC1C8B" w:rsidRPr="00FB5E21" w:rsidRDefault="00DC1C8B" w:rsidP="00DC1C8B">
            <w:pPr>
              <w:rPr>
                <w:rFonts w:ascii="Calibri" w:hAnsi="Calibri" w:cs="Calibri"/>
                <w:b/>
                <w:bCs/>
                <w:i/>
                <w:iCs/>
                <w:color w:val="0000FF"/>
                <w:sz w:val="18"/>
                <w:szCs w:val="18"/>
              </w:rPr>
            </w:pPr>
            <w:r w:rsidRPr="00FB5E21">
              <w:rPr>
                <w:rFonts w:ascii="Calibri" w:hAnsi="Calibri" w:cs="Calibri"/>
                <w:b/>
                <w:bCs/>
                <w:i/>
                <w:iCs/>
                <w:color w:val="008000"/>
                <w:sz w:val="18"/>
                <w:szCs w:val="18"/>
              </w:rPr>
              <w:t>The gNB-CU initiates the L1/L2 mobility configuration procedure.</w:t>
            </w:r>
            <w:r w:rsidRPr="00FB5E21">
              <w:rPr>
                <w:rFonts w:ascii="Calibri" w:hAnsi="Calibri" w:cs="Calibri"/>
                <w:b/>
                <w:bCs/>
                <w:i/>
                <w:iCs/>
                <w:color w:val="0000FF"/>
                <w:sz w:val="18"/>
                <w:szCs w:val="18"/>
              </w:rPr>
              <w:t xml:space="preserve"> FFS on whether gNB-DU can also initiate the L1/L2 mobility configuration procedure.</w:t>
            </w:r>
          </w:p>
          <w:p w14:paraId="0084F14A" w14:textId="77777777" w:rsidR="00DC1C8B" w:rsidRPr="00FB5E21" w:rsidRDefault="00DC1C8B" w:rsidP="00DC1C8B">
            <w:pPr>
              <w:rPr>
                <w:rFonts w:ascii="Calibri" w:hAnsi="Calibri" w:cs="Calibri"/>
                <w:b/>
                <w:bCs/>
                <w:i/>
                <w:iCs/>
                <w:color w:val="00B050"/>
                <w:sz w:val="18"/>
                <w:szCs w:val="18"/>
              </w:rPr>
            </w:pPr>
            <w:r w:rsidRPr="00FB5E21">
              <w:rPr>
                <w:rFonts w:ascii="Calibri" w:hAnsi="Calibri" w:cs="Calibri"/>
                <w:b/>
                <w:bCs/>
                <w:i/>
                <w:iCs/>
                <w:color w:val="008000"/>
                <w:sz w:val="18"/>
                <w:szCs w:val="18"/>
              </w:rPr>
              <w:t>The configuration of candidate target cell(s) for L1/L2 mobility is initiated by the gNB-CU.</w:t>
            </w:r>
            <w:r w:rsidRPr="00FB5E21">
              <w:rPr>
                <w:rFonts w:ascii="Calibri" w:hAnsi="Calibri" w:cs="Calibri"/>
                <w:b/>
                <w:bCs/>
                <w:i/>
                <w:iCs/>
                <w:color w:val="00B050"/>
                <w:sz w:val="18"/>
                <w:szCs w:val="18"/>
              </w:rPr>
              <w:t xml:space="preserve"> </w:t>
            </w:r>
            <w:r w:rsidRPr="00FB5E21">
              <w:rPr>
                <w:rFonts w:ascii="Calibri" w:hAnsi="Calibri" w:cs="Calibri"/>
                <w:b/>
                <w:bCs/>
                <w:i/>
                <w:iCs/>
                <w:color w:val="0000FF"/>
                <w:sz w:val="18"/>
                <w:szCs w:val="18"/>
              </w:rPr>
              <w:t>Details are FFS.</w:t>
            </w:r>
          </w:p>
          <w:p w14:paraId="5A9D12EF" w14:textId="25C0C18C" w:rsidR="00DC1C8B" w:rsidRPr="00EA5774" w:rsidRDefault="00DC1C8B" w:rsidP="00DC1C8B">
            <w:pPr>
              <w:rPr>
                <w:rFonts w:ascii="Calibri" w:hAnsi="Calibri" w:cs="Calibri"/>
                <w:b/>
                <w:bCs/>
                <w:i/>
                <w:iCs/>
                <w:sz w:val="18"/>
                <w:szCs w:val="18"/>
                <w:u w:val="single"/>
              </w:rPr>
            </w:pPr>
            <w:r w:rsidRPr="00EA5774">
              <w:rPr>
                <w:rFonts w:ascii="Calibri" w:hAnsi="Calibri" w:cs="Calibri"/>
                <w:b/>
                <w:bCs/>
                <w:i/>
                <w:iCs/>
                <w:sz w:val="18"/>
                <w:szCs w:val="18"/>
                <w:u w:val="single"/>
              </w:rPr>
              <w:t>Handover execution:</w:t>
            </w:r>
          </w:p>
          <w:p w14:paraId="56EC42E6" w14:textId="77777777" w:rsidR="00DC1C8B" w:rsidRPr="00FB5E21" w:rsidRDefault="00DC1C8B" w:rsidP="00DC1C8B">
            <w:pPr>
              <w:rPr>
                <w:rFonts w:ascii="Calibri" w:hAnsi="Calibri" w:cs="Calibri"/>
                <w:b/>
                <w:bCs/>
                <w:i/>
                <w:iCs/>
                <w:color w:val="008000"/>
                <w:sz w:val="18"/>
                <w:szCs w:val="18"/>
              </w:rPr>
            </w:pPr>
            <w:r w:rsidRPr="00FB5E21">
              <w:rPr>
                <w:rFonts w:ascii="Calibri" w:hAnsi="Calibri" w:cs="Calibri"/>
                <w:b/>
                <w:bCs/>
                <w:i/>
                <w:iCs/>
                <w:color w:val="008000"/>
                <w:sz w:val="18"/>
                <w:szCs w:val="18"/>
              </w:rPr>
              <w:t>WA: RAN3 assumes that the UE sends the L1 measurement report to the gNB-DU and the gNB-DU triggers UE mobility to a target candidate cell. All details are up to RAN1 and RAN2 discussion.</w:t>
            </w:r>
          </w:p>
          <w:p w14:paraId="40CF56DC" w14:textId="77777777" w:rsidR="00DC1C8B" w:rsidRPr="00FB5E21" w:rsidRDefault="00DC1C8B" w:rsidP="00DC1C8B">
            <w:pPr>
              <w:rPr>
                <w:rFonts w:ascii="Calibri" w:hAnsi="Calibri" w:cs="Calibri"/>
                <w:b/>
                <w:bCs/>
                <w:i/>
                <w:iCs/>
                <w:color w:val="0000FF"/>
                <w:sz w:val="18"/>
                <w:szCs w:val="18"/>
              </w:rPr>
            </w:pPr>
            <w:r w:rsidRPr="00FB5E21">
              <w:rPr>
                <w:rFonts w:ascii="Calibri" w:hAnsi="Calibri" w:cs="Calibri"/>
                <w:b/>
                <w:bCs/>
                <w:i/>
                <w:iCs/>
                <w:color w:val="0000FF"/>
                <w:sz w:val="18"/>
                <w:szCs w:val="18"/>
              </w:rPr>
              <w:lastRenderedPageBreak/>
              <w:t>FFS on how the gNB/gNB-DU detects the UE access and whether there is an F1 impact.</w:t>
            </w:r>
          </w:p>
          <w:p w14:paraId="6D43FF93" w14:textId="77777777" w:rsidR="00DC1C8B" w:rsidRPr="00EA5774" w:rsidRDefault="00DC1C8B" w:rsidP="00DC1C8B">
            <w:pPr>
              <w:rPr>
                <w:rFonts w:ascii="Calibri" w:hAnsi="Calibri" w:cs="Calibri"/>
                <w:b/>
                <w:bCs/>
                <w:i/>
                <w:iCs/>
                <w:sz w:val="18"/>
                <w:szCs w:val="18"/>
                <w:u w:val="single"/>
              </w:rPr>
            </w:pPr>
            <w:r w:rsidRPr="00EA5774">
              <w:rPr>
                <w:rFonts w:ascii="Calibri" w:hAnsi="Calibri" w:cs="Calibri"/>
                <w:b/>
                <w:bCs/>
                <w:i/>
                <w:iCs/>
                <w:sz w:val="18"/>
                <w:szCs w:val="18"/>
                <w:u w:val="single"/>
              </w:rPr>
              <w:t>Handover completion:</w:t>
            </w:r>
          </w:p>
          <w:p w14:paraId="2FC08460" w14:textId="64B09972" w:rsidR="00DC1C8B" w:rsidRPr="00AA2102" w:rsidRDefault="00DC1C8B" w:rsidP="00DC1C8B">
            <w:pPr>
              <w:rPr>
                <w:i/>
                <w:iCs/>
                <w:color w:val="4472C4"/>
              </w:rPr>
            </w:pPr>
            <w:r w:rsidRPr="00FB5E21">
              <w:rPr>
                <w:rFonts w:ascii="Calibri" w:hAnsi="Calibri" w:cs="Calibri"/>
                <w:b/>
                <w:bCs/>
                <w:i/>
                <w:iCs/>
                <w:color w:val="0000FF"/>
                <w:sz w:val="18"/>
                <w:szCs w:val="18"/>
              </w:rPr>
              <w:t>For intra-DU L1/L2 handover, whether and how to release the source cell/prepared cells’ resources in the gNB DU is FFS.</w:t>
            </w:r>
          </w:p>
        </w:tc>
      </w:tr>
    </w:tbl>
    <w:p w14:paraId="1B48A5E1" w14:textId="77777777" w:rsidR="00DC1C8B" w:rsidRDefault="00DC1C8B" w:rsidP="00DC1C8B"/>
    <w:p w14:paraId="0D23631F" w14:textId="219E5BA7" w:rsidR="006C790C" w:rsidRDefault="006C790C" w:rsidP="0063292C"/>
    <w:p w14:paraId="532EE2C5" w14:textId="77777777" w:rsidR="006C790C" w:rsidRDefault="006C790C" w:rsidP="0063292C"/>
    <w:p w14:paraId="3721EC9B" w14:textId="0C4F72E3" w:rsidR="00DD20A8" w:rsidRDefault="00DD20A8" w:rsidP="00DD20A8">
      <w:pPr>
        <w:pStyle w:val="Heading1"/>
        <w:tabs>
          <w:tab w:val="left" w:pos="2410"/>
        </w:tabs>
      </w:pPr>
      <w:r>
        <w:t>2</w:t>
      </w:r>
      <w:r w:rsidRPr="00B704B9">
        <w:tab/>
      </w:r>
      <w:r w:rsidR="00172244">
        <w:t xml:space="preserve">Additional consideration regarding </w:t>
      </w:r>
      <w:r>
        <w:t xml:space="preserve">L1/L2 Centric </w:t>
      </w:r>
      <w:r w:rsidR="00F83D09">
        <w:t xml:space="preserve">Intra-gNB-DU Inter-Cell </w:t>
      </w:r>
      <w:r>
        <w:t>Mobility Procedures</w:t>
      </w:r>
    </w:p>
    <w:p w14:paraId="543F8A59" w14:textId="133E36F7" w:rsidR="00EA5774" w:rsidRDefault="00EA5774" w:rsidP="00DD20A8"/>
    <w:p w14:paraId="6F9BE37A" w14:textId="30FBE0FC" w:rsidR="006C790C" w:rsidRDefault="006C790C" w:rsidP="006C790C">
      <w:r w:rsidRPr="00EC4A71">
        <w:t xml:space="preserve">In contribution </w:t>
      </w:r>
      <w:r w:rsidRPr="00EC4A71">
        <w:fldChar w:fldCharType="begin"/>
      </w:r>
      <w:r w:rsidRPr="00EC4A71">
        <w:instrText xml:space="preserve"> REF _Ref110848435 \n \h  \* MERGEFORMAT </w:instrText>
      </w:r>
      <w:r w:rsidRPr="00EC4A71">
        <w:fldChar w:fldCharType="separate"/>
      </w:r>
      <w:r w:rsidRPr="00EC4A71">
        <w:t>[3]</w:t>
      </w:r>
      <w:r w:rsidRPr="00EC4A71">
        <w:fldChar w:fldCharType="end"/>
      </w:r>
      <w:r w:rsidRPr="00EC4A71">
        <w:t xml:space="preserve">, the following draft signalling sequence for L1/L2 centric mobility </w:t>
      </w:r>
      <w:proofErr w:type="gramStart"/>
      <w:r w:rsidRPr="00EC4A71">
        <w:t>taking into account</w:t>
      </w:r>
      <w:proofErr w:type="gramEnd"/>
      <w:r w:rsidRPr="00EC4A71">
        <w:t xml:space="preserve"> the agreements at RAN3#117-e meeting is derived. Based on this high-level draft, we explore additional considerations and their potential impact to the disaggregated gNB architecture signalling for intra-gNB-DU mobility scenarios.</w:t>
      </w:r>
    </w:p>
    <w:p w14:paraId="322416FF" w14:textId="4A72B316" w:rsidR="006C790C" w:rsidRDefault="006C790C" w:rsidP="006C790C">
      <w:r>
        <w:t xml:space="preserve"> </w:t>
      </w:r>
    </w:p>
    <w:p w14:paraId="32EB357B" w14:textId="28F1BC02" w:rsidR="00DD20A8" w:rsidRDefault="00DD20A8" w:rsidP="00DD20A8"/>
    <w:p w14:paraId="5C90F309" w14:textId="77777777" w:rsidR="00DD20A8" w:rsidRDefault="00DD20A8" w:rsidP="00DD20A8">
      <w:pPr>
        <w:ind w:left="360"/>
        <w:contextualSpacing/>
        <w:rPr>
          <w:rFonts w:eastAsia="Times New Roman"/>
          <w:bCs/>
        </w:rPr>
      </w:pPr>
    </w:p>
    <w:p w14:paraId="3FC88EF0" w14:textId="77777777" w:rsidR="00DD20A8" w:rsidRDefault="00DD20A8" w:rsidP="00DD20A8">
      <w:pPr>
        <w:ind w:left="360"/>
        <w:contextualSpacing/>
        <w:rPr>
          <w:rFonts w:eastAsia="Times New Roman"/>
          <w:bCs/>
        </w:rPr>
      </w:pPr>
    </w:p>
    <w:p w14:paraId="0C2071E5" w14:textId="643D8B03" w:rsidR="00DD20A8" w:rsidRDefault="00EC4A71" w:rsidP="00DD20A8">
      <w:pPr>
        <w:keepNext/>
        <w:ind w:left="360"/>
        <w:contextualSpacing/>
      </w:pPr>
      <w:r>
        <w:object w:dxaOrig="9167" w:dyaOrig="12127" w14:anchorId="66FF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5pt;height:607pt" o:ole="">
            <v:imagedata r:id="rId14" o:title=""/>
          </v:shape>
          <o:OLEObject Type="Embed" ProgID="Visio.Drawing.11" ShapeID="_x0000_i1025" DrawAspect="Content" ObjectID="_1725849318" r:id="rId15"/>
        </w:object>
      </w:r>
    </w:p>
    <w:p w14:paraId="53BE1676" w14:textId="0016ACB7" w:rsidR="00DD20A8" w:rsidRDefault="00DD20A8" w:rsidP="00DD20A8">
      <w:pPr>
        <w:pStyle w:val="Caption"/>
        <w:jc w:val="center"/>
        <w:rPr>
          <w:rFonts w:eastAsia="Times New Roman"/>
          <w:bCs w:val="0"/>
        </w:rPr>
      </w:pPr>
      <w:r>
        <w:t xml:space="preserve">Figure </w:t>
      </w:r>
      <w:r>
        <w:fldChar w:fldCharType="begin"/>
      </w:r>
      <w:r>
        <w:instrText xml:space="preserve"> SEQ Figure \* ARABIC </w:instrText>
      </w:r>
      <w:r>
        <w:fldChar w:fldCharType="separate"/>
      </w:r>
      <w:r>
        <w:rPr>
          <w:noProof/>
        </w:rPr>
        <w:t>2</w:t>
      </w:r>
      <w:r>
        <w:fldChar w:fldCharType="end"/>
      </w:r>
      <w:r>
        <w:t>. L1/L2 Intra-gNB-DU Inter-Cell Mobility Overview</w:t>
      </w:r>
    </w:p>
    <w:p w14:paraId="3E709684" w14:textId="4B6F3F0D" w:rsidR="00DD20A8" w:rsidRDefault="00DD20A8" w:rsidP="00DD20A8">
      <w:pPr>
        <w:ind w:left="360"/>
        <w:contextualSpacing/>
        <w:rPr>
          <w:rFonts w:eastAsia="Times New Roman"/>
          <w:bCs/>
        </w:rPr>
      </w:pPr>
    </w:p>
    <w:p w14:paraId="23F956F3" w14:textId="77777777" w:rsidR="006C790C" w:rsidRPr="00D53356" w:rsidRDefault="006C790C" w:rsidP="006C790C">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1</w:t>
      </w:r>
      <w:r w:rsidRPr="00D53356">
        <w:rPr>
          <w:rFonts w:ascii="Arial" w:eastAsia="Times New Roman" w:hAnsi="Arial"/>
          <w:sz w:val="32"/>
        </w:rPr>
        <w:t xml:space="preserve"> </w:t>
      </w:r>
      <w:r w:rsidRPr="00D53356">
        <w:rPr>
          <w:rFonts w:ascii="Arial" w:eastAsia="Times New Roman" w:hAnsi="Arial"/>
          <w:sz w:val="32"/>
        </w:rPr>
        <w:tab/>
      </w:r>
      <w:r>
        <w:rPr>
          <w:rFonts w:ascii="Arial" w:eastAsia="Times New Roman" w:hAnsi="Arial"/>
          <w:sz w:val="32"/>
        </w:rPr>
        <w:t>Considerations for the Mobility Preparation phase</w:t>
      </w:r>
    </w:p>
    <w:p w14:paraId="2C7EF003" w14:textId="53CFF3D0" w:rsidR="00867BDE" w:rsidRDefault="006C790C" w:rsidP="006C790C">
      <w:pPr>
        <w:rPr>
          <w:rFonts w:eastAsia="Times New Roman"/>
          <w:bCs/>
          <w:lang w:val="en-US"/>
        </w:rPr>
      </w:pPr>
      <w:r>
        <w:rPr>
          <w:rFonts w:eastAsia="Times New Roman"/>
          <w:bCs/>
          <w:lang w:val="en-US"/>
        </w:rPr>
        <w:t xml:space="preserve">In the </w:t>
      </w:r>
      <w:r w:rsidR="0069652A">
        <w:rPr>
          <w:rFonts w:eastAsia="Times New Roman"/>
          <w:bCs/>
          <w:lang w:val="en-US"/>
        </w:rPr>
        <w:t>p</w:t>
      </w:r>
      <w:r>
        <w:rPr>
          <w:rFonts w:eastAsia="Times New Roman"/>
          <w:bCs/>
          <w:lang w:val="en-US"/>
        </w:rPr>
        <w:t xml:space="preserve">reparation phase, the gNB-CU takes decision (e.g., based on L3 measurements from the UE) to configure L1/L2 mobility parameters to the UE and gNB-DU(s) for target candidate cell(s) in advance. </w:t>
      </w:r>
    </w:p>
    <w:p w14:paraId="413D4F26" w14:textId="5E6F5FA2" w:rsidR="00867BDE" w:rsidRDefault="00867BDE" w:rsidP="006C790C">
      <w:pPr>
        <w:rPr>
          <w:rFonts w:eastAsia="Times New Roman"/>
          <w:bCs/>
          <w:lang w:val="en-US"/>
        </w:rPr>
      </w:pPr>
      <w:r>
        <w:rPr>
          <w:rFonts w:eastAsia="Times New Roman"/>
          <w:bCs/>
          <w:lang w:val="en-US"/>
        </w:rPr>
        <w:lastRenderedPageBreak/>
        <w:t>At last RAN3#117-e meeting there was discussion on how are candidate cells configured to the gNB-DU as well as whether the target cells can be modified by the gNB-DU. In our view, the gNB-DU having received a request to configure certain candidate target cells for L1/L2 mobility, it may not be able to execute the request for all the cells indicated by the gNB-CU. In other words, it may only partially be able to carry out the configuration. This can be for instance due to resources available at gNB-DU, or some other reason (policies). Therefore, support for a partial configuration should be allowed, with the gNB-DU reporting which cells were successfully configured, and which were not configured.</w:t>
      </w:r>
    </w:p>
    <w:p w14:paraId="56A5519B" w14:textId="4B64CCA7" w:rsidR="00867BDE" w:rsidRPr="00867BDE" w:rsidRDefault="00867BDE" w:rsidP="006C790C">
      <w:pPr>
        <w:rPr>
          <w:rFonts w:eastAsia="Times New Roman"/>
          <w:bCs/>
        </w:rPr>
      </w:pPr>
      <w:r w:rsidRPr="00DA627E">
        <w:rPr>
          <w:rFonts w:eastAsia="Times New Roman"/>
          <w:b/>
          <w:i/>
          <w:iCs/>
        </w:rPr>
        <w:t xml:space="preserve">Proposal </w:t>
      </w:r>
      <w:r w:rsidR="00D83F3C">
        <w:rPr>
          <w:rFonts w:eastAsia="Times New Roman"/>
          <w:b/>
          <w:i/>
          <w:iCs/>
        </w:rPr>
        <w:t>1</w:t>
      </w:r>
      <w:r w:rsidRPr="00DA627E">
        <w:rPr>
          <w:rFonts w:eastAsia="Times New Roman"/>
          <w:b/>
          <w:i/>
          <w:iCs/>
        </w:rPr>
        <w:t>:</w:t>
      </w:r>
      <w:r>
        <w:rPr>
          <w:rFonts w:eastAsia="Times New Roman"/>
          <w:b/>
          <w:i/>
          <w:iCs/>
        </w:rPr>
        <w:t xml:space="preserve"> The gNB-DU may accept to configure all requested cells for L1/L2 mobility, some of the requested cells, or none, and report the result back to the gNB-CU.</w:t>
      </w:r>
    </w:p>
    <w:p w14:paraId="05D2B243" w14:textId="1830B633" w:rsidR="00F83D09" w:rsidRDefault="00F83D09" w:rsidP="006C790C">
      <w:pPr>
        <w:contextualSpacing/>
        <w:rPr>
          <w:rFonts w:eastAsia="Times New Roman"/>
          <w:bCs/>
        </w:rPr>
      </w:pPr>
    </w:p>
    <w:p w14:paraId="2876F4B4" w14:textId="63CD6F77" w:rsidR="006C790C" w:rsidRPr="00D53356" w:rsidRDefault="006C790C" w:rsidP="006C790C">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sidR="00867BDE">
        <w:rPr>
          <w:rFonts w:ascii="Arial" w:eastAsia="Times New Roman" w:hAnsi="Arial"/>
          <w:sz w:val="32"/>
        </w:rPr>
        <w:t>2</w:t>
      </w:r>
      <w:r w:rsidRPr="00D53356">
        <w:rPr>
          <w:rFonts w:ascii="Arial" w:eastAsia="Times New Roman" w:hAnsi="Arial"/>
          <w:sz w:val="32"/>
        </w:rPr>
        <w:t xml:space="preserve"> </w:t>
      </w:r>
      <w:r w:rsidRPr="00D53356">
        <w:rPr>
          <w:rFonts w:ascii="Arial" w:eastAsia="Times New Roman" w:hAnsi="Arial"/>
          <w:sz w:val="32"/>
        </w:rPr>
        <w:tab/>
      </w:r>
      <w:r>
        <w:rPr>
          <w:rFonts w:ascii="Arial" w:eastAsia="Times New Roman" w:hAnsi="Arial"/>
          <w:sz w:val="32"/>
        </w:rPr>
        <w:t>Considerations for the Mobility Execution phase</w:t>
      </w:r>
    </w:p>
    <w:p w14:paraId="16947528" w14:textId="64627FD6" w:rsidR="00867BDE" w:rsidRDefault="00867BDE" w:rsidP="006C790C">
      <w:pPr>
        <w:rPr>
          <w:rFonts w:eastAsia="Times New Roman"/>
          <w:bCs/>
        </w:rPr>
      </w:pPr>
      <w:r>
        <w:rPr>
          <w:rFonts w:eastAsia="Times New Roman"/>
          <w:bCs/>
        </w:rPr>
        <w:t xml:space="preserve">At previous RAN3#117-e meeting, whether gNB-DU notifies the gNB-CU after a UE has accessed the new cell was left as FFS. </w:t>
      </w:r>
    </w:p>
    <w:p w14:paraId="44A896B3" w14:textId="73EFE7F0" w:rsidR="006C790C" w:rsidRDefault="006C790C" w:rsidP="006C790C">
      <w:pPr>
        <w:rPr>
          <w:rFonts w:eastAsia="Times New Roman"/>
          <w:bCs/>
          <w:lang w:val="en-US"/>
        </w:rPr>
      </w:pPr>
      <w:r>
        <w:rPr>
          <w:rFonts w:eastAsia="Times New Roman"/>
          <w:bCs/>
          <w:lang w:val="en-US"/>
        </w:rPr>
        <w:t xml:space="preserve">Although the cell change command itself is to be carried out by the gNB-DU, it is likely beneficial for the gNB-CU to remain aware that the cell change has been triggered to the UE, prior to receiving a </w:t>
      </w:r>
      <w:r>
        <w:rPr>
          <w:rFonts w:eastAsia="Times New Roman"/>
          <w:bCs/>
          <w:i/>
          <w:iCs/>
          <w:lang w:val="en-US"/>
        </w:rPr>
        <w:t xml:space="preserve">RRCReconfigurationComplete </w:t>
      </w:r>
      <w:r>
        <w:rPr>
          <w:rFonts w:eastAsia="Times New Roman"/>
          <w:bCs/>
          <w:lang w:val="en-US"/>
        </w:rPr>
        <w:t>message from the target candidate cell confirming the cell change. This will prevent the gNB-CU to issue additional RRC reconfiguration commands to a UE utilizing the soon to become unavailable link (i.e. the old source cell). Similarly, keeping the gNB-CU informed will also ensure that the latest cell configuration used by the UE is known, which is also beneficial for legacy L3 mobility procedures.</w:t>
      </w:r>
    </w:p>
    <w:p w14:paraId="12AA200B" w14:textId="68EB4D00" w:rsidR="006C790C" w:rsidRDefault="006C790C" w:rsidP="006C790C">
      <w:pPr>
        <w:rPr>
          <w:rFonts w:eastAsia="Times New Roman"/>
          <w:b/>
          <w:i/>
          <w:iCs/>
        </w:rPr>
      </w:pPr>
      <w:r>
        <w:rPr>
          <w:rFonts w:eastAsia="Times New Roman"/>
          <w:b/>
          <w:i/>
          <w:iCs/>
        </w:rPr>
        <w:t xml:space="preserve">Observation </w:t>
      </w:r>
      <w:r w:rsidR="00D83F3C">
        <w:rPr>
          <w:rFonts w:eastAsia="Times New Roman"/>
          <w:b/>
          <w:i/>
          <w:iCs/>
        </w:rPr>
        <w:t>1</w:t>
      </w:r>
      <w:r w:rsidRPr="00DA627E">
        <w:rPr>
          <w:rFonts w:eastAsia="Times New Roman"/>
          <w:b/>
          <w:i/>
          <w:iCs/>
        </w:rPr>
        <w:t>:</w:t>
      </w:r>
      <w:r>
        <w:rPr>
          <w:rFonts w:eastAsia="Times New Roman"/>
          <w:b/>
          <w:i/>
          <w:iCs/>
        </w:rPr>
        <w:t xml:space="preserve"> Awareness at the gNB-CU when a L1/L2 cell change has been triggered by the gNB-DU can prevent issuing RRC reconfiguration messages over the cell that will soon become unavailable and prevent failures.</w:t>
      </w:r>
    </w:p>
    <w:p w14:paraId="239BFB0C" w14:textId="63474C89" w:rsidR="006C790C" w:rsidRDefault="006C790C" w:rsidP="006C790C">
      <w:pPr>
        <w:rPr>
          <w:rFonts w:eastAsia="Times New Roman"/>
          <w:b/>
          <w:i/>
          <w:iCs/>
        </w:rPr>
      </w:pPr>
      <w:r w:rsidRPr="00D83F3C">
        <w:rPr>
          <w:rFonts w:eastAsia="Times New Roman"/>
          <w:b/>
          <w:i/>
          <w:iCs/>
        </w:rPr>
        <w:t xml:space="preserve">Proposal </w:t>
      </w:r>
      <w:r w:rsidR="00D83F3C" w:rsidRPr="00D83F3C">
        <w:rPr>
          <w:rFonts w:eastAsia="Times New Roman"/>
          <w:b/>
          <w:i/>
          <w:iCs/>
        </w:rPr>
        <w:t>2</w:t>
      </w:r>
      <w:r w:rsidRPr="00D83F3C">
        <w:rPr>
          <w:rFonts w:eastAsia="Times New Roman"/>
          <w:b/>
          <w:i/>
          <w:iCs/>
        </w:rPr>
        <w:t>: The gNB-DU signals over F1 to gNB-CU when a L1/L2 cell change has been triggered.</w:t>
      </w:r>
    </w:p>
    <w:p w14:paraId="497653DF" w14:textId="77777777" w:rsidR="00824141" w:rsidRPr="00824141" w:rsidRDefault="00824141" w:rsidP="006C790C">
      <w:pPr>
        <w:rPr>
          <w:rFonts w:eastAsia="Times New Roman"/>
          <w:bCs/>
          <w:lang w:val="en-US"/>
        </w:rPr>
      </w:pPr>
    </w:p>
    <w:p w14:paraId="20A2C69E" w14:textId="382EE5F9" w:rsidR="00824141" w:rsidRDefault="00824141" w:rsidP="00824141">
      <w:pPr>
        <w:keepNext/>
        <w:keepLines/>
        <w:spacing w:before="180"/>
        <w:ind w:left="1134" w:hanging="1134"/>
        <w:outlineLvl w:val="1"/>
        <w:rPr>
          <w:rFonts w:ascii="Arial" w:eastAsia="Times New Roman" w:hAnsi="Arial"/>
          <w:sz w:val="32"/>
        </w:rPr>
      </w:pPr>
      <w:r>
        <w:rPr>
          <w:rFonts w:ascii="Arial" w:eastAsia="Times New Roman" w:hAnsi="Arial"/>
          <w:sz w:val="32"/>
        </w:rPr>
        <w:t>2</w:t>
      </w:r>
      <w:r w:rsidRPr="00D53356">
        <w:rPr>
          <w:rFonts w:ascii="Arial" w:eastAsia="Times New Roman" w:hAnsi="Arial"/>
          <w:sz w:val="32"/>
        </w:rPr>
        <w:t>.</w:t>
      </w:r>
      <w:r w:rsidR="00A44B15">
        <w:rPr>
          <w:rFonts w:ascii="Arial" w:eastAsia="Times New Roman" w:hAnsi="Arial"/>
          <w:sz w:val="32"/>
        </w:rPr>
        <w:t>3</w:t>
      </w:r>
      <w:r w:rsidRPr="00D53356">
        <w:rPr>
          <w:rFonts w:ascii="Arial" w:eastAsia="Times New Roman" w:hAnsi="Arial"/>
          <w:sz w:val="32"/>
        </w:rPr>
        <w:tab/>
      </w:r>
      <w:r>
        <w:rPr>
          <w:rFonts w:ascii="Arial" w:eastAsia="Times New Roman" w:hAnsi="Arial"/>
          <w:sz w:val="32"/>
        </w:rPr>
        <w:t>Candidate Target Cell Configuration Update and Impact of CP-UP Separation</w:t>
      </w:r>
    </w:p>
    <w:p w14:paraId="1FAA71A5" w14:textId="77777777" w:rsidR="00824141" w:rsidRDefault="00824141" w:rsidP="00824141">
      <w:pPr>
        <w:rPr>
          <w:rFonts w:eastAsia="Times New Roman"/>
          <w:bCs/>
        </w:rPr>
      </w:pPr>
      <w:r>
        <w:rPr>
          <w:rFonts w:eastAsia="Times New Roman"/>
          <w:bCs/>
        </w:rPr>
        <w:t>The premise in which L1/L2 inter-cell mobility operates requires configuration and preparation of candidate target cells at the same Source gNB-DU (mobility to a cell within the same gNB-DU), as well as at a separate Candidate gNB-DU (mobility to a cell within a separate gNB-DU). In both cases, the mobility is expected to occur within the same gNB-CU (i.e. intra-gNB mobility), as described in the Rel-18 work item.</w:t>
      </w:r>
    </w:p>
    <w:p w14:paraId="68D67D0A" w14:textId="77777777" w:rsidR="00824141" w:rsidRDefault="00824141" w:rsidP="00824141">
      <w:pPr>
        <w:rPr>
          <w:rFonts w:eastAsia="Times New Roman"/>
          <w:bCs/>
        </w:rPr>
      </w:pPr>
      <w:r>
        <w:rPr>
          <w:rFonts w:eastAsia="Times New Roman"/>
          <w:bCs/>
        </w:rPr>
        <w:t>At last meeting, there is already a RAN3 understanding that gNB-CU will p</w:t>
      </w:r>
      <w:r w:rsidRPr="00F83D09">
        <w:rPr>
          <w:rFonts w:eastAsia="Times New Roman"/>
          <w:bCs/>
        </w:rPr>
        <w:t>repare and configure a candidate target cell and resources prior to inter-cell mobility</w:t>
      </w:r>
      <w:r>
        <w:rPr>
          <w:rFonts w:eastAsia="Times New Roman"/>
          <w:bCs/>
        </w:rPr>
        <w:t>, and only impact on F1 was discussed.</w:t>
      </w:r>
    </w:p>
    <w:p w14:paraId="0787C805" w14:textId="77777777" w:rsidR="00824141" w:rsidRDefault="00824141" w:rsidP="00824141">
      <w:pPr>
        <w:rPr>
          <w:rFonts w:eastAsia="Times New Roman"/>
          <w:bCs/>
        </w:rPr>
      </w:pPr>
      <w:r>
        <w:rPr>
          <w:rFonts w:eastAsia="Times New Roman"/>
          <w:bCs/>
        </w:rPr>
        <w:t>However, the following items need be considered as part of basic overall procedures discussion</w:t>
      </w:r>
    </w:p>
    <w:p w14:paraId="7F11240E" w14:textId="77777777" w:rsidR="00824141" w:rsidRDefault="00824141" w:rsidP="00824141">
      <w:pPr>
        <w:numPr>
          <w:ilvl w:val="0"/>
          <w:numId w:val="16"/>
        </w:numPr>
        <w:rPr>
          <w:rFonts w:eastAsia="Times New Roman"/>
          <w:bCs/>
        </w:rPr>
      </w:pPr>
      <w:r w:rsidRPr="00F83D09">
        <w:rPr>
          <w:rFonts w:eastAsia="Times New Roman"/>
          <w:bCs/>
        </w:rPr>
        <w:t xml:space="preserve">Possibility for gNB-CU to update the configuration of a candidate target cell prior </w:t>
      </w:r>
      <w:r>
        <w:rPr>
          <w:rFonts w:eastAsia="Times New Roman"/>
          <w:bCs/>
        </w:rPr>
        <w:t>to inter-cell mobility.</w:t>
      </w:r>
    </w:p>
    <w:p w14:paraId="4FA12EC9" w14:textId="77777777" w:rsidR="00824141" w:rsidRDefault="00824141" w:rsidP="00824141">
      <w:pPr>
        <w:numPr>
          <w:ilvl w:val="0"/>
          <w:numId w:val="16"/>
        </w:numPr>
        <w:rPr>
          <w:rFonts w:eastAsia="Times New Roman"/>
          <w:bCs/>
        </w:rPr>
      </w:pPr>
      <w:r>
        <w:rPr>
          <w:rFonts w:eastAsia="Times New Roman"/>
          <w:bCs/>
        </w:rPr>
        <w:t xml:space="preserve">Possibility for gNB-CU to re-configure the source cell after </w:t>
      </w:r>
      <w:r w:rsidRPr="00F83D09">
        <w:rPr>
          <w:rFonts w:eastAsia="Times New Roman"/>
          <w:bCs/>
        </w:rPr>
        <w:t>inter-cell mobility</w:t>
      </w:r>
      <w:r>
        <w:rPr>
          <w:rFonts w:eastAsia="Times New Roman"/>
          <w:bCs/>
        </w:rPr>
        <w:t xml:space="preserve"> as a target for the new cell to which the UE has moved to. </w:t>
      </w:r>
    </w:p>
    <w:p w14:paraId="758CBF0A" w14:textId="77777777" w:rsidR="00824141" w:rsidRPr="00F83D09" w:rsidRDefault="00824141" w:rsidP="00824141">
      <w:pPr>
        <w:numPr>
          <w:ilvl w:val="0"/>
          <w:numId w:val="16"/>
        </w:numPr>
        <w:rPr>
          <w:rFonts w:eastAsia="Times New Roman"/>
          <w:bCs/>
        </w:rPr>
      </w:pPr>
      <w:r>
        <w:rPr>
          <w:rFonts w:eastAsia="Times New Roman"/>
          <w:bCs/>
        </w:rPr>
        <w:t>Impacts to E1 interface for addition, update, release of resources at a gNB-CU-UP for L1/L2 centric mobility</w:t>
      </w:r>
    </w:p>
    <w:p w14:paraId="3389E3A9" w14:textId="77777777" w:rsidR="00824141" w:rsidRPr="00F83D09" w:rsidRDefault="00824141" w:rsidP="00824141">
      <w:pPr>
        <w:pStyle w:val="ListParagraph"/>
        <w:rPr>
          <w:rFonts w:eastAsia="Times New Roman"/>
          <w:bCs/>
        </w:rPr>
      </w:pPr>
    </w:p>
    <w:p w14:paraId="4BEF9C24" w14:textId="6508787F" w:rsidR="00824141" w:rsidRDefault="00824141" w:rsidP="00824141">
      <w:pPr>
        <w:rPr>
          <w:rFonts w:eastAsia="Times New Roman"/>
          <w:bCs/>
        </w:rPr>
      </w:pPr>
      <w:r>
        <w:rPr>
          <w:rFonts w:eastAsia="Times New Roman"/>
          <w:bCs/>
        </w:rPr>
        <w:t>Further, the configuration of the candidate target cell may not be limited only to radio resources, but also toward user-plane connectivity and transport resources with the gNB-CU-UP. For instance, if the candidate target cell is linked to different gNB-CU-UP(s) than that of the serving cell at the Source gNB-DU, we would expect to have E1 interface impacts to prepare the bearer resources at the new gNB-CU-UP, or update and release them. Likewise, similarly, data forwarding tunnels</w:t>
      </w:r>
      <w:r w:rsidR="003507BF">
        <w:rPr>
          <w:rFonts w:eastAsia="Times New Roman"/>
          <w:bCs/>
        </w:rPr>
        <w:t xml:space="preserve"> between gNB-CU-UPs</w:t>
      </w:r>
      <w:r>
        <w:rPr>
          <w:rFonts w:eastAsia="Times New Roman"/>
          <w:bCs/>
        </w:rPr>
        <w:t xml:space="preserve"> may need to be setup accordingly to avoid data loss. </w:t>
      </w:r>
    </w:p>
    <w:p w14:paraId="104C1FCB" w14:textId="3498DD28" w:rsidR="00824141" w:rsidRDefault="00824141" w:rsidP="00824141">
      <w:pPr>
        <w:rPr>
          <w:rFonts w:eastAsia="Times New Roman"/>
          <w:b/>
          <w:i/>
          <w:iCs/>
          <w:lang w:val="en-US"/>
        </w:rPr>
      </w:pPr>
      <w:r>
        <w:rPr>
          <w:rFonts w:eastAsia="Times New Roman"/>
          <w:b/>
          <w:i/>
          <w:iCs/>
          <w:lang w:val="en-US"/>
        </w:rPr>
        <w:t xml:space="preserve">Proposal </w:t>
      </w:r>
      <w:r w:rsidR="00D83F3C">
        <w:rPr>
          <w:rFonts w:eastAsia="Times New Roman"/>
          <w:b/>
          <w:i/>
          <w:iCs/>
          <w:lang w:val="en-US"/>
        </w:rPr>
        <w:t>3</w:t>
      </w:r>
      <w:r>
        <w:rPr>
          <w:rFonts w:eastAsia="Times New Roman"/>
          <w:b/>
          <w:i/>
          <w:iCs/>
          <w:lang w:val="en-US"/>
        </w:rPr>
        <w:t xml:space="preserve">: The gNB-CU-CP can provide information regarding L1/L2 mobility over E1 to a gNB-CU-UP to setup, update, or remove resources for L1/L2 mobility. </w:t>
      </w:r>
    </w:p>
    <w:p w14:paraId="536C7ADF" w14:textId="4446ACCF" w:rsidR="00824141" w:rsidRPr="00DF0F19" w:rsidRDefault="00824141" w:rsidP="00824141">
      <w:pPr>
        <w:rPr>
          <w:rFonts w:eastAsia="Times New Roman"/>
          <w:b/>
          <w:i/>
          <w:iCs/>
          <w:lang w:val="en-US"/>
        </w:rPr>
      </w:pPr>
      <w:r>
        <w:rPr>
          <w:rFonts w:eastAsia="Times New Roman"/>
          <w:b/>
          <w:i/>
          <w:iCs/>
          <w:lang w:val="en-US"/>
        </w:rPr>
        <w:t xml:space="preserve">Proposal </w:t>
      </w:r>
      <w:r w:rsidR="00D83F3C">
        <w:rPr>
          <w:rFonts w:eastAsia="Times New Roman"/>
          <w:b/>
          <w:i/>
          <w:iCs/>
          <w:lang w:val="en-US"/>
        </w:rPr>
        <w:t>4</w:t>
      </w:r>
      <w:r>
        <w:rPr>
          <w:rFonts w:eastAsia="Times New Roman"/>
          <w:b/>
          <w:i/>
          <w:iCs/>
          <w:lang w:val="en-US"/>
        </w:rPr>
        <w:t xml:space="preserve">: </w:t>
      </w:r>
      <w:r w:rsidRPr="00233949">
        <w:rPr>
          <w:rFonts w:eastAsia="Times New Roman"/>
          <w:b/>
          <w:i/>
          <w:iCs/>
          <w:lang w:val="en-US"/>
        </w:rPr>
        <w:t xml:space="preserve">How, and at what timing the data forwarding are setup and taken into use </w:t>
      </w:r>
      <w:r>
        <w:rPr>
          <w:rFonts w:eastAsia="Times New Roman"/>
          <w:b/>
          <w:i/>
          <w:iCs/>
          <w:lang w:val="en-US"/>
        </w:rPr>
        <w:t xml:space="preserve">is FFS. </w:t>
      </w:r>
    </w:p>
    <w:p w14:paraId="46C8CE65" w14:textId="5EF725D6" w:rsidR="00824141" w:rsidRDefault="00824141" w:rsidP="00824141">
      <w:pPr>
        <w:tabs>
          <w:tab w:val="left" w:pos="4116"/>
        </w:tabs>
        <w:rPr>
          <w:rFonts w:eastAsia="Times New Roman"/>
          <w:bCs/>
          <w:lang w:val="en-US"/>
        </w:rPr>
      </w:pPr>
    </w:p>
    <w:p w14:paraId="3CA6F441" w14:textId="02AD2419" w:rsidR="00172244" w:rsidRDefault="00A44B15" w:rsidP="00172244">
      <w:pPr>
        <w:pStyle w:val="Heading1"/>
        <w:tabs>
          <w:tab w:val="left" w:pos="2410"/>
        </w:tabs>
      </w:pPr>
      <w:r>
        <w:t>3</w:t>
      </w:r>
      <w:r w:rsidR="00172244" w:rsidRPr="00B704B9">
        <w:tab/>
      </w:r>
      <w:r w:rsidR="00172244">
        <w:t>Additional consideration regarding L1/L2 Centric Inter-gNB-DU Inter-Cell Mobility Procedures</w:t>
      </w:r>
    </w:p>
    <w:p w14:paraId="4DBE3C0F" w14:textId="69EEE040" w:rsidR="006C790C" w:rsidRDefault="006C790C" w:rsidP="006C790C"/>
    <w:p w14:paraId="7212ECAF" w14:textId="2CEE5235" w:rsidR="00E13F87" w:rsidRPr="00D53356" w:rsidRDefault="00A44B15" w:rsidP="00E13F87">
      <w:pPr>
        <w:keepNext/>
        <w:keepLines/>
        <w:spacing w:before="180"/>
        <w:ind w:left="1134" w:hanging="1134"/>
        <w:outlineLvl w:val="1"/>
        <w:rPr>
          <w:rFonts w:ascii="Arial" w:eastAsia="Times New Roman" w:hAnsi="Arial"/>
          <w:sz w:val="32"/>
        </w:rPr>
      </w:pPr>
      <w:r>
        <w:rPr>
          <w:rFonts w:ascii="Arial" w:eastAsia="Times New Roman" w:hAnsi="Arial"/>
          <w:sz w:val="32"/>
        </w:rPr>
        <w:t>3</w:t>
      </w:r>
      <w:r w:rsidR="00E13F87" w:rsidRPr="00D53356">
        <w:rPr>
          <w:rFonts w:ascii="Arial" w:eastAsia="Times New Roman" w:hAnsi="Arial"/>
          <w:sz w:val="32"/>
        </w:rPr>
        <w:t>.</w:t>
      </w:r>
      <w:r w:rsidR="00E13F87">
        <w:rPr>
          <w:rFonts w:ascii="Arial" w:eastAsia="Times New Roman" w:hAnsi="Arial"/>
          <w:sz w:val="32"/>
        </w:rPr>
        <w:t>1</w:t>
      </w:r>
      <w:r w:rsidR="00E13F87" w:rsidRPr="00D53356">
        <w:rPr>
          <w:rFonts w:ascii="Arial" w:eastAsia="Times New Roman" w:hAnsi="Arial"/>
          <w:sz w:val="32"/>
        </w:rPr>
        <w:t xml:space="preserve"> </w:t>
      </w:r>
      <w:r w:rsidR="00E13F87" w:rsidRPr="00D53356">
        <w:rPr>
          <w:rFonts w:ascii="Arial" w:eastAsia="Times New Roman" w:hAnsi="Arial"/>
          <w:sz w:val="32"/>
        </w:rPr>
        <w:tab/>
      </w:r>
      <w:r w:rsidR="00E13F87">
        <w:rPr>
          <w:rFonts w:ascii="Arial" w:eastAsia="Times New Roman" w:hAnsi="Arial"/>
          <w:sz w:val="32"/>
        </w:rPr>
        <w:t xml:space="preserve">Base Signalling Sequence for inter-gNB-DU mobility scenario </w:t>
      </w:r>
    </w:p>
    <w:p w14:paraId="699A5E24" w14:textId="77777777" w:rsidR="00E13F87" w:rsidRDefault="00E13F87" w:rsidP="00E13F87">
      <w:pPr>
        <w:rPr>
          <w:rFonts w:eastAsia="Times New Roman"/>
          <w:bCs/>
        </w:rPr>
      </w:pPr>
      <w:r>
        <w:rPr>
          <w:rFonts w:eastAsia="Times New Roman"/>
          <w:bCs/>
        </w:rPr>
        <w:t xml:space="preserve">Even though at previous RAN3#117-e meeting all discussion was regarding intra-gNB-DU scenarios, there was also agreement that </w:t>
      </w:r>
    </w:p>
    <w:p w14:paraId="621A75D9" w14:textId="77777777" w:rsidR="00E13F87" w:rsidRDefault="00E13F87" w:rsidP="00E13F87">
      <w:pPr>
        <w:rPr>
          <w:rFonts w:ascii="Calibri" w:hAnsi="Calibri" w:cs="Calibri"/>
          <w:b/>
          <w:bCs/>
          <w:i/>
          <w:iCs/>
          <w:color w:val="008000"/>
          <w:sz w:val="18"/>
        </w:rPr>
      </w:pPr>
      <w:r w:rsidRPr="00FB5E21">
        <w:rPr>
          <w:rFonts w:ascii="Calibri" w:hAnsi="Calibri" w:cs="Calibri"/>
          <w:b/>
          <w:bCs/>
          <w:i/>
          <w:iCs/>
          <w:color w:val="008000"/>
          <w:sz w:val="18"/>
        </w:rPr>
        <w:t>RAN3 will aim for a single solution for network signaling design on L1/L2 based inter-cell mobility to support all agreed scenarios. The details of solution are FFS.</w:t>
      </w:r>
    </w:p>
    <w:p w14:paraId="6893C82C" w14:textId="35AEF52D" w:rsidR="00E13F87" w:rsidRDefault="00E13F87" w:rsidP="00E13F87">
      <w:pPr>
        <w:rPr>
          <w:rFonts w:eastAsia="Times New Roman"/>
          <w:bCs/>
        </w:rPr>
      </w:pPr>
      <w:r>
        <w:rPr>
          <w:rFonts w:eastAsia="Times New Roman"/>
          <w:bCs/>
        </w:rPr>
        <w:t>Therefore, it is important that also the inter-gNB-DU scenario is not neglected only until later time, in order to identify and be able to pursue a unified solution. A straightforward approach is to derive signalling sequence for the inter-gNB-DU case at high level at minimum (reusing the intra-gNB-DU one), even if all further details are left as FFS.</w:t>
      </w:r>
    </w:p>
    <w:p w14:paraId="2CCD9C47" w14:textId="1918A5BD" w:rsidR="00E13F87" w:rsidRDefault="00E13F87" w:rsidP="00E13F87">
      <w:pPr>
        <w:rPr>
          <w:rFonts w:eastAsia="Times New Roman"/>
          <w:b/>
          <w:i/>
          <w:iCs/>
          <w:lang w:val="en-US"/>
        </w:rPr>
      </w:pPr>
      <w:r>
        <w:rPr>
          <w:rFonts w:eastAsia="Times New Roman"/>
          <w:b/>
          <w:i/>
          <w:iCs/>
          <w:lang w:val="en-US"/>
        </w:rPr>
        <w:t xml:space="preserve">Proposal </w:t>
      </w:r>
      <w:r w:rsidR="00D83F3C">
        <w:rPr>
          <w:rFonts w:eastAsia="Times New Roman"/>
          <w:b/>
          <w:i/>
          <w:iCs/>
          <w:lang w:val="en-US"/>
        </w:rPr>
        <w:t>5</w:t>
      </w:r>
      <w:r>
        <w:rPr>
          <w:rFonts w:eastAsia="Times New Roman"/>
          <w:b/>
          <w:i/>
          <w:iCs/>
          <w:lang w:val="en-US"/>
        </w:rPr>
        <w:t xml:space="preserve">: Derive high-level signaling flow diagram also for the inter-gNB-DU L1/L2 centric inter-cell mobility scenario, with details left as FFS. </w:t>
      </w:r>
    </w:p>
    <w:p w14:paraId="7EF621CF" w14:textId="77777777" w:rsidR="00E13F87" w:rsidRPr="00DF0F19" w:rsidRDefault="00E13F87" w:rsidP="00E13F87">
      <w:pPr>
        <w:rPr>
          <w:rFonts w:eastAsia="Times New Roman"/>
          <w:b/>
          <w:i/>
          <w:iCs/>
          <w:lang w:val="en-US"/>
        </w:rPr>
      </w:pPr>
    </w:p>
    <w:p w14:paraId="1612E67D" w14:textId="6E5777AD" w:rsidR="006C790C" w:rsidRPr="00D53356" w:rsidRDefault="00A44B15" w:rsidP="006C790C">
      <w:pPr>
        <w:keepNext/>
        <w:keepLines/>
        <w:spacing w:before="180"/>
        <w:ind w:left="1134" w:hanging="1134"/>
        <w:outlineLvl w:val="1"/>
        <w:rPr>
          <w:rFonts w:ascii="Arial" w:eastAsia="Times New Roman" w:hAnsi="Arial"/>
          <w:sz w:val="32"/>
        </w:rPr>
      </w:pPr>
      <w:r>
        <w:rPr>
          <w:rFonts w:ascii="Arial" w:eastAsia="Times New Roman" w:hAnsi="Arial"/>
          <w:sz w:val="32"/>
        </w:rPr>
        <w:t>3</w:t>
      </w:r>
      <w:r w:rsidR="006C790C" w:rsidRPr="00D53356">
        <w:rPr>
          <w:rFonts w:ascii="Arial" w:eastAsia="Times New Roman" w:hAnsi="Arial"/>
          <w:sz w:val="32"/>
        </w:rPr>
        <w:t>.</w:t>
      </w:r>
      <w:r w:rsidR="00E13F87">
        <w:rPr>
          <w:rFonts w:ascii="Arial" w:eastAsia="Times New Roman" w:hAnsi="Arial"/>
          <w:sz w:val="32"/>
        </w:rPr>
        <w:t>2</w:t>
      </w:r>
      <w:r w:rsidR="006C790C" w:rsidRPr="00D53356">
        <w:rPr>
          <w:rFonts w:ascii="Arial" w:eastAsia="Times New Roman" w:hAnsi="Arial"/>
          <w:sz w:val="32"/>
        </w:rPr>
        <w:t xml:space="preserve"> </w:t>
      </w:r>
      <w:r w:rsidR="006C790C" w:rsidRPr="00D53356">
        <w:rPr>
          <w:rFonts w:ascii="Arial" w:eastAsia="Times New Roman" w:hAnsi="Arial"/>
          <w:sz w:val="32"/>
        </w:rPr>
        <w:tab/>
      </w:r>
      <w:r w:rsidR="006C790C">
        <w:rPr>
          <w:rFonts w:ascii="Arial" w:eastAsia="Times New Roman" w:hAnsi="Arial"/>
          <w:sz w:val="32"/>
        </w:rPr>
        <w:t xml:space="preserve">Data Forwarding Considerations </w:t>
      </w:r>
    </w:p>
    <w:p w14:paraId="6E21177C" w14:textId="77777777" w:rsidR="006C790C" w:rsidRDefault="006C790C" w:rsidP="006C790C">
      <w:pPr>
        <w:rPr>
          <w:rFonts w:eastAsia="Times New Roman"/>
          <w:bCs/>
        </w:rPr>
      </w:pPr>
      <w:r>
        <w:rPr>
          <w:rFonts w:eastAsia="Times New Roman"/>
          <w:bCs/>
        </w:rPr>
        <w:t>A target of the Rel-18 Work Item is to reduce the interruption time of the mobility procedure. For this matter, applicability of data forwarding mechanism should be taken into account to the L1/L2 centric mobility framework and signalling in RAN3. For instance, depending on scenario and deployment the L1/L2 mobility may be inter-DU, requiring forwarding data to the target-DU, as well as possibly incurring a gNB-CU-UP change, which would also require forwarding of data toward the new gNB-CU-UP in use. Hence, we foresee impacts to the F1 and E1 interfaces.</w:t>
      </w:r>
    </w:p>
    <w:p w14:paraId="068ED43B" w14:textId="77777777" w:rsidR="006C790C" w:rsidRDefault="006C790C" w:rsidP="006C790C">
      <w:pPr>
        <w:rPr>
          <w:rFonts w:eastAsia="Times New Roman"/>
          <w:bCs/>
        </w:rPr>
      </w:pPr>
      <w:r>
        <w:rPr>
          <w:rFonts w:eastAsia="Times New Roman"/>
          <w:bCs/>
        </w:rPr>
        <w:t>In order to reduce the interruption time, the data needs to be available at the target DU in a timely manner. However, the data forwarding operation should not unnecessarily be triggered too early toward multiple prepared cells as it would incur in a high signalling overhead and buffering.</w:t>
      </w:r>
    </w:p>
    <w:p w14:paraId="3070895E" w14:textId="77777777" w:rsidR="006C790C" w:rsidRDefault="006C790C" w:rsidP="006C790C">
      <w:pPr>
        <w:rPr>
          <w:rFonts w:eastAsia="Times New Roman"/>
          <w:bCs/>
        </w:rPr>
      </w:pPr>
      <w:r>
        <w:rPr>
          <w:rFonts w:eastAsia="Times New Roman"/>
          <w:bCs/>
        </w:rPr>
        <w:t>Taking the base high-level signalling described above, there are several alternatives regarding the timing to trigger the data forwarding operation between nodes.</w:t>
      </w:r>
    </w:p>
    <w:p w14:paraId="68529BE2" w14:textId="77777777" w:rsidR="006C790C" w:rsidRDefault="006C790C" w:rsidP="006C790C">
      <w:pPr>
        <w:numPr>
          <w:ilvl w:val="0"/>
          <w:numId w:val="16"/>
        </w:numPr>
        <w:rPr>
          <w:rFonts w:eastAsia="Times New Roman"/>
          <w:bCs/>
        </w:rPr>
      </w:pPr>
      <w:r>
        <w:rPr>
          <w:rFonts w:eastAsia="Times New Roman"/>
          <w:bCs/>
        </w:rPr>
        <w:t xml:space="preserve">Option 1: Immediately after reception of the </w:t>
      </w:r>
      <w:r>
        <w:rPr>
          <w:rFonts w:eastAsia="Times New Roman"/>
          <w:bCs/>
          <w:i/>
          <w:iCs/>
        </w:rPr>
        <w:t xml:space="preserve">RRCReconfigurationComplete </w:t>
      </w:r>
      <w:r>
        <w:rPr>
          <w:rFonts w:eastAsia="Times New Roman"/>
          <w:bCs/>
        </w:rPr>
        <w:t>message at the gNB-CU which confirms the handover execution. With this option data forwarding would begin after an explicit confirmation that the handover execution has completed, and only to the target cell which was selected for the L1/L2 mobility, but with the drawback of high interruption time.</w:t>
      </w:r>
    </w:p>
    <w:p w14:paraId="44332AE8" w14:textId="77777777" w:rsidR="006C790C" w:rsidRDefault="006C790C" w:rsidP="006C790C">
      <w:pPr>
        <w:numPr>
          <w:ilvl w:val="0"/>
          <w:numId w:val="16"/>
        </w:numPr>
        <w:rPr>
          <w:rFonts w:eastAsia="Times New Roman"/>
          <w:bCs/>
        </w:rPr>
      </w:pPr>
      <w:r>
        <w:rPr>
          <w:rFonts w:eastAsia="Times New Roman"/>
          <w:bCs/>
        </w:rPr>
        <w:t xml:space="preserve">Option 2: Early data forwarding, triggered after reception of the </w:t>
      </w:r>
      <w:r>
        <w:rPr>
          <w:rFonts w:eastAsia="Times New Roman"/>
          <w:bCs/>
          <w:i/>
          <w:iCs/>
        </w:rPr>
        <w:t xml:space="preserve">RRCReconfigurationComplete </w:t>
      </w:r>
      <w:r>
        <w:rPr>
          <w:rFonts w:eastAsia="Times New Roman"/>
          <w:bCs/>
        </w:rPr>
        <w:t>message at the gNB-CU which confirms that the UE has received and configured the L1/L2 mobility configuration accordingly. With this option data forwarding would well in advance start across all candidate target cells, with the benefit of low interruption time. However, this has the drawback of additional overhead, as data is not only sent to target cells that are not ultimately selected for mobility, but also incur unnecessary buffering of data at multiple nodes.</w:t>
      </w:r>
    </w:p>
    <w:p w14:paraId="7A01DF25" w14:textId="77777777" w:rsidR="006C790C" w:rsidRDefault="006C790C" w:rsidP="006C790C">
      <w:pPr>
        <w:rPr>
          <w:rFonts w:eastAsia="Times New Roman"/>
          <w:b/>
          <w:i/>
          <w:iCs/>
        </w:rPr>
      </w:pPr>
    </w:p>
    <w:p w14:paraId="34DA789E" w14:textId="71709B30" w:rsidR="006C790C" w:rsidRDefault="006C790C" w:rsidP="006C790C">
      <w:pPr>
        <w:rPr>
          <w:rFonts w:eastAsia="Times New Roman"/>
          <w:b/>
          <w:i/>
          <w:iCs/>
        </w:rPr>
      </w:pPr>
      <w:r w:rsidRPr="00C605FF">
        <w:rPr>
          <w:rFonts w:eastAsia="Times New Roman"/>
          <w:b/>
          <w:i/>
          <w:iCs/>
        </w:rPr>
        <w:t xml:space="preserve">Observation </w:t>
      </w:r>
      <w:r w:rsidR="00D83F3C">
        <w:rPr>
          <w:rFonts w:eastAsia="Times New Roman"/>
          <w:b/>
          <w:i/>
          <w:iCs/>
        </w:rPr>
        <w:t>2</w:t>
      </w:r>
      <w:r w:rsidRPr="00C605FF">
        <w:rPr>
          <w:rFonts w:eastAsia="Times New Roman"/>
          <w:b/>
          <w:i/>
          <w:iCs/>
        </w:rPr>
        <w:t xml:space="preserve">: </w:t>
      </w:r>
      <w:r>
        <w:rPr>
          <w:rFonts w:eastAsia="Times New Roman"/>
          <w:b/>
          <w:i/>
          <w:iCs/>
        </w:rPr>
        <w:t>Starting data forwarding to the target gNB-DU cell after HO execution confirmation incurs a high interruption time, which is contradicts the objective of the Rel-18 work item.</w:t>
      </w:r>
    </w:p>
    <w:p w14:paraId="3C5207B6" w14:textId="4A5D5C88" w:rsidR="006C790C" w:rsidRPr="00C605FF" w:rsidRDefault="006C790C" w:rsidP="006C790C">
      <w:pPr>
        <w:rPr>
          <w:rFonts w:eastAsia="Times New Roman"/>
          <w:b/>
          <w:i/>
          <w:iCs/>
        </w:rPr>
      </w:pPr>
      <w:r w:rsidRPr="00C605FF">
        <w:rPr>
          <w:rFonts w:eastAsia="Times New Roman"/>
          <w:b/>
          <w:i/>
          <w:iCs/>
        </w:rPr>
        <w:t xml:space="preserve">Observation </w:t>
      </w:r>
      <w:r w:rsidR="00D83F3C">
        <w:rPr>
          <w:rFonts w:eastAsia="Times New Roman"/>
          <w:b/>
          <w:i/>
          <w:iCs/>
        </w:rPr>
        <w:t>3</w:t>
      </w:r>
      <w:r w:rsidRPr="00C605FF">
        <w:rPr>
          <w:rFonts w:eastAsia="Times New Roman"/>
          <w:b/>
          <w:i/>
          <w:iCs/>
        </w:rPr>
        <w:t xml:space="preserve">: </w:t>
      </w:r>
      <w:r>
        <w:rPr>
          <w:rFonts w:eastAsia="Times New Roman"/>
          <w:b/>
          <w:i/>
          <w:iCs/>
        </w:rPr>
        <w:t xml:space="preserve">Early data forwarding to the multiple target candidate gNB-DU cells reduces interruption time, but also results </w:t>
      </w:r>
      <w:r w:rsidRPr="00C605FF">
        <w:rPr>
          <w:rFonts w:eastAsia="Times New Roman"/>
          <w:b/>
          <w:i/>
          <w:iCs/>
        </w:rPr>
        <w:t>in increased overhead (buffer space for storage, discarding transmitted PDUs).</w:t>
      </w:r>
    </w:p>
    <w:p w14:paraId="31FEA171" w14:textId="13E7AA48" w:rsidR="006C790C" w:rsidRPr="00C605FF" w:rsidRDefault="006C790C" w:rsidP="006C790C">
      <w:pPr>
        <w:rPr>
          <w:rFonts w:eastAsia="Times New Roman"/>
          <w:b/>
          <w:i/>
          <w:iCs/>
        </w:rPr>
      </w:pPr>
      <w:r w:rsidRPr="00C605FF">
        <w:rPr>
          <w:rFonts w:eastAsia="Times New Roman"/>
          <w:b/>
          <w:i/>
          <w:iCs/>
        </w:rPr>
        <w:lastRenderedPageBreak/>
        <w:t xml:space="preserve">Proposal </w:t>
      </w:r>
      <w:r w:rsidR="00D83F3C">
        <w:rPr>
          <w:rFonts w:eastAsia="Times New Roman"/>
          <w:b/>
          <w:i/>
          <w:iCs/>
        </w:rPr>
        <w:t>6</w:t>
      </w:r>
      <w:r w:rsidRPr="00C605FF">
        <w:rPr>
          <w:rFonts w:eastAsia="Times New Roman"/>
          <w:b/>
          <w:i/>
          <w:iCs/>
        </w:rPr>
        <w:t xml:space="preserve">: </w:t>
      </w:r>
      <w:r>
        <w:rPr>
          <w:rFonts w:eastAsia="Times New Roman"/>
          <w:b/>
          <w:i/>
          <w:iCs/>
        </w:rPr>
        <w:t>RAN3 to study possible solutions for data forwarding applicable to L1/L2 centric mobility (both inter-gNB-DU and with/without gNB-CU-UP change).</w:t>
      </w:r>
    </w:p>
    <w:p w14:paraId="10843B1A" w14:textId="77777777" w:rsidR="006C790C" w:rsidRDefault="006C790C" w:rsidP="006C790C">
      <w:pPr>
        <w:rPr>
          <w:b/>
          <w:i/>
        </w:rPr>
      </w:pPr>
    </w:p>
    <w:p w14:paraId="1FCA7615" w14:textId="77777777" w:rsidR="006C790C" w:rsidRDefault="006C790C" w:rsidP="006C790C">
      <w:pPr>
        <w:contextualSpacing/>
        <w:rPr>
          <w:rFonts w:eastAsia="Times New Roman"/>
          <w:bCs/>
        </w:rPr>
      </w:pPr>
    </w:p>
    <w:bookmarkEnd w:id="1"/>
    <w:p w14:paraId="4632F936" w14:textId="77777777" w:rsidR="0063292C" w:rsidRPr="00B704B9" w:rsidRDefault="0063292C" w:rsidP="0063292C">
      <w:pPr>
        <w:pStyle w:val="Heading1"/>
        <w:tabs>
          <w:tab w:val="left" w:pos="2410"/>
        </w:tabs>
      </w:pPr>
      <w:r>
        <w:t>3</w:t>
      </w:r>
      <w:r w:rsidRPr="00B704B9">
        <w:tab/>
      </w:r>
      <w:r>
        <w:t>Conclusions</w:t>
      </w:r>
    </w:p>
    <w:p w14:paraId="2C8F5C31" w14:textId="11CB936A" w:rsidR="009F37EC" w:rsidRDefault="009F37EC" w:rsidP="00681B62">
      <w:pPr>
        <w:ind w:left="284"/>
        <w:rPr>
          <w:b/>
          <w:i/>
        </w:rPr>
      </w:pPr>
    </w:p>
    <w:p w14:paraId="7F39B3EC" w14:textId="77777777" w:rsidR="00D83F3C" w:rsidRPr="00D83F3C" w:rsidRDefault="00D83F3C" w:rsidP="00D83F3C">
      <w:pPr>
        <w:ind w:left="284"/>
        <w:rPr>
          <w:b/>
          <w:i/>
        </w:rPr>
      </w:pPr>
      <w:r w:rsidRPr="00D83F3C">
        <w:rPr>
          <w:b/>
          <w:i/>
        </w:rPr>
        <w:t>Proposal 1: The gNB-DU may accept to configure all requested cells for L1/L2 mobility, some of the requested cells, or none, and report the result back to the gNB-CU.</w:t>
      </w:r>
    </w:p>
    <w:p w14:paraId="63B85008" w14:textId="77777777" w:rsidR="00D83F3C" w:rsidRPr="00D83F3C" w:rsidRDefault="00D83F3C" w:rsidP="00D83F3C">
      <w:pPr>
        <w:ind w:left="284"/>
        <w:rPr>
          <w:b/>
          <w:i/>
        </w:rPr>
      </w:pPr>
      <w:r w:rsidRPr="00D83F3C">
        <w:rPr>
          <w:b/>
          <w:i/>
        </w:rPr>
        <w:t>Observation 1: Awareness at the gNB-CU when a L1/L2 cell change has been triggered by the gNB-DU can prevent issuing RRC reconfiguration messages over the cell that will soon become unavailable and prevent failures.</w:t>
      </w:r>
    </w:p>
    <w:p w14:paraId="30E320F1" w14:textId="77777777" w:rsidR="00D83F3C" w:rsidRPr="00D83F3C" w:rsidRDefault="00D83F3C" w:rsidP="00D83F3C">
      <w:pPr>
        <w:ind w:left="284"/>
        <w:rPr>
          <w:b/>
          <w:i/>
        </w:rPr>
      </w:pPr>
      <w:r w:rsidRPr="00D83F3C">
        <w:rPr>
          <w:b/>
          <w:i/>
        </w:rPr>
        <w:t>Proposal 2: The gNB-DU signals over F1 to gNB-CU when a L1/L2 cell change has been triggered.</w:t>
      </w:r>
    </w:p>
    <w:p w14:paraId="147395D2" w14:textId="77777777" w:rsidR="00D83F3C" w:rsidRPr="00D83F3C" w:rsidRDefault="00D83F3C" w:rsidP="00D83F3C">
      <w:pPr>
        <w:ind w:left="284"/>
        <w:rPr>
          <w:b/>
          <w:i/>
        </w:rPr>
      </w:pPr>
      <w:r w:rsidRPr="00D83F3C">
        <w:rPr>
          <w:b/>
          <w:i/>
        </w:rPr>
        <w:t xml:space="preserve">Proposal 3: The gNB-CU-CP can provide information regarding L1/L2 mobility over E1 to a gNB-CU-UP to setup, update, or remove resources for L1/L2 mobility. </w:t>
      </w:r>
    </w:p>
    <w:p w14:paraId="31474BB8" w14:textId="77777777" w:rsidR="00D83F3C" w:rsidRPr="00D83F3C" w:rsidRDefault="00D83F3C" w:rsidP="00D83F3C">
      <w:pPr>
        <w:ind w:left="284"/>
        <w:rPr>
          <w:b/>
          <w:i/>
        </w:rPr>
      </w:pPr>
      <w:r w:rsidRPr="00D83F3C">
        <w:rPr>
          <w:b/>
          <w:i/>
        </w:rPr>
        <w:t xml:space="preserve">Proposal 4: How, and at what timing the data forwarding are setup and taken into use is FFS. </w:t>
      </w:r>
    </w:p>
    <w:p w14:paraId="17308EB0" w14:textId="77777777" w:rsidR="00D83F3C" w:rsidRPr="00D83F3C" w:rsidRDefault="00D83F3C" w:rsidP="00D83F3C">
      <w:pPr>
        <w:ind w:left="284"/>
        <w:rPr>
          <w:b/>
          <w:i/>
        </w:rPr>
      </w:pPr>
      <w:r w:rsidRPr="00D83F3C">
        <w:rPr>
          <w:b/>
          <w:i/>
        </w:rPr>
        <w:t xml:space="preserve">Proposal 5: Derive high-level signaling flow diagram also for the inter-gNB-DU L1/L2 centric inter-cell mobility scenario, with details left as FFS. </w:t>
      </w:r>
    </w:p>
    <w:p w14:paraId="3CDEBC4C" w14:textId="77777777" w:rsidR="00D83F3C" w:rsidRPr="00D83F3C" w:rsidRDefault="00D83F3C" w:rsidP="00D83F3C">
      <w:pPr>
        <w:ind w:left="284"/>
        <w:rPr>
          <w:b/>
          <w:i/>
        </w:rPr>
      </w:pPr>
      <w:r w:rsidRPr="00D83F3C">
        <w:rPr>
          <w:b/>
          <w:i/>
        </w:rPr>
        <w:t>Observation 2: Starting data forwarding to the target gNB-DU cell after HO execution confirmation incurs a high interruption time, which is contradicts the objective of the Rel-18 work item.</w:t>
      </w:r>
    </w:p>
    <w:p w14:paraId="47EA7897" w14:textId="77777777" w:rsidR="00D83F3C" w:rsidRPr="00D83F3C" w:rsidRDefault="00D83F3C" w:rsidP="00D83F3C">
      <w:pPr>
        <w:ind w:left="284"/>
        <w:rPr>
          <w:b/>
          <w:i/>
        </w:rPr>
      </w:pPr>
      <w:r w:rsidRPr="00D83F3C">
        <w:rPr>
          <w:b/>
          <w:i/>
        </w:rPr>
        <w:t>Observation 3: Early data forwarding to the multiple target candidate gNB-DU cells reduces interruption time, but also results in increased overhead (buffer space for storage, discarding transmitted PDUs).</w:t>
      </w:r>
    </w:p>
    <w:p w14:paraId="09210F8D" w14:textId="77777777" w:rsidR="00D83F3C" w:rsidRPr="00D83F3C" w:rsidRDefault="00D83F3C" w:rsidP="00D83F3C">
      <w:pPr>
        <w:ind w:left="284"/>
        <w:rPr>
          <w:b/>
          <w:i/>
        </w:rPr>
      </w:pPr>
      <w:r w:rsidRPr="00D83F3C">
        <w:rPr>
          <w:b/>
          <w:i/>
        </w:rPr>
        <w:t>Proposal 6: RAN3 to study possible solutions for data forwarding applicable to L1/L2 centric mobility (both inter-gNB-DU and with/without gNB-CU-UP change).</w:t>
      </w:r>
    </w:p>
    <w:p w14:paraId="2A87D9A8" w14:textId="77777777" w:rsidR="0063292C" w:rsidRDefault="0063292C" w:rsidP="000F3C3E">
      <w:pPr>
        <w:tabs>
          <w:tab w:val="left" w:pos="1985"/>
          <w:tab w:val="left" w:pos="2410"/>
        </w:tabs>
        <w:rPr>
          <w:rFonts w:ascii="Arial" w:hAnsi="Arial" w:cs="Arial"/>
          <w:b/>
          <w:bCs/>
          <w:sz w:val="24"/>
        </w:rPr>
      </w:pPr>
    </w:p>
    <w:p w14:paraId="38B5CB3D" w14:textId="77777777" w:rsidR="0070544D" w:rsidRPr="00B05E1E" w:rsidRDefault="0070544D" w:rsidP="0070544D">
      <w:pPr>
        <w:pStyle w:val="Heading1"/>
        <w:rPr>
          <w:lang w:val="en-US"/>
        </w:rPr>
      </w:pPr>
      <w:r w:rsidRPr="00B05E1E">
        <w:rPr>
          <w:lang w:val="en-US"/>
        </w:rPr>
        <w:t>References</w:t>
      </w:r>
    </w:p>
    <w:p w14:paraId="3142A865" w14:textId="77777777" w:rsidR="00681B62" w:rsidRPr="00B05E1E" w:rsidRDefault="00681B62" w:rsidP="00313FFC">
      <w:pPr>
        <w:numPr>
          <w:ilvl w:val="0"/>
          <w:numId w:val="7"/>
        </w:numPr>
        <w:overflowPunct w:val="0"/>
        <w:autoSpaceDE w:val="0"/>
        <w:autoSpaceDN w:val="0"/>
        <w:adjustRightInd w:val="0"/>
        <w:textAlignment w:val="baseline"/>
        <w:rPr>
          <w:lang w:val="en-US"/>
        </w:rPr>
      </w:pPr>
      <w:r w:rsidRPr="00B05E1E">
        <w:rPr>
          <w:lang w:val="en-US"/>
        </w:rPr>
        <w:t>3GPP TS 38.401</w:t>
      </w:r>
    </w:p>
    <w:p w14:paraId="6542FE3C" w14:textId="47A62949" w:rsidR="002A3979" w:rsidRPr="006472D2" w:rsidRDefault="00835054" w:rsidP="00681B62">
      <w:pPr>
        <w:numPr>
          <w:ilvl w:val="0"/>
          <w:numId w:val="7"/>
        </w:numPr>
        <w:overflowPunct w:val="0"/>
        <w:autoSpaceDE w:val="0"/>
        <w:autoSpaceDN w:val="0"/>
        <w:adjustRightInd w:val="0"/>
        <w:textAlignment w:val="baseline"/>
        <w:rPr>
          <w:lang w:val="en-US"/>
        </w:rPr>
      </w:pPr>
      <w:r w:rsidRPr="00702D2C">
        <w:t>RP-221799</w:t>
      </w:r>
      <w:r>
        <w:t xml:space="preserve"> Further NR Mobility Enhancements, MediaTek</w:t>
      </w:r>
    </w:p>
    <w:p w14:paraId="4C8AABC3" w14:textId="77FEEFE5" w:rsidR="006472D2" w:rsidRPr="00E13F87" w:rsidRDefault="006472D2" w:rsidP="00681B62">
      <w:pPr>
        <w:numPr>
          <w:ilvl w:val="0"/>
          <w:numId w:val="7"/>
        </w:numPr>
        <w:overflowPunct w:val="0"/>
        <w:autoSpaceDE w:val="0"/>
        <w:autoSpaceDN w:val="0"/>
        <w:adjustRightInd w:val="0"/>
        <w:textAlignment w:val="baseline"/>
        <w:rPr>
          <w:lang w:val="en-US"/>
        </w:rPr>
      </w:pPr>
      <w:r>
        <w:t>R3-225082 CB: # MobilityEnh1_L1L2Mo, Huawei (moderator)</w:t>
      </w:r>
    </w:p>
    <w:p w14:paraId="0A462E37" w14:textId="219E98D5" w:rsidR="00E13F87" w:rsidRPr="00657C1E" w:rsidRDefault="00E13F87" w:rsidP="00681B62">
      <w:pPr>
        <w:numPr>
          <w:ilvl w:val="0"/>
          <w:numId w:val="7"/>
        </w:numPr>
        <w:overflowPunct w:val="0"/>
        <w:autoSpaceDE w:val="0"/>
        <w:autoSpaceDN w:val="0"/>
        <w:adjustRightInd w:val="0"/>
        <w:textAlignment w:val="baseline"/>
        <w:rPr>
          <w:lang w:val="en-US"/>
        </w:rPr>
      </w:pPr>
      <w:r>
        <w:rPr>
          <w:lang w:val="en-US"/>
        </w:rPr>
        <w:t>R3-22</w:t>
      </w:r>
      <w:r w:rsidR="00EC4A71">
        <w:rPr>
          <w:lang w:val="en-US"/>
        </w:rPr>
        <w:t xml:space="preserve">5573 </w:t>
      </w:r>
      <w:r w:rsidRPr="00E13F87">
        <w:rPr>
          <w:lang w:val="en-US"/>
        </w:rPr>
        <w:t>Discussion on Intra-gNB-DU L1/L2 Inter-Cell Mobility Procedure</w:t>
      </w:r>
      <w:r>
        <w:rPr>
          <w:lang w:val="en-US"/>
        </w:rPr>
        <w:t>, Nokia, Nokia Shanghai Bell</w:t>
      </w:r>
    </w:p>
    <w:p w14:paraId="18FD1111" w14:textId="3F84775E" w:rsidR="00657C1E" w:rsidRDefault="00657C1E" w:rsidP="00657C1E">
      <w:pPr>
        <w:overflowPunct w:val="0"/>
        <w:autoSpaceDE w:val="0"/>
        <w:autoSpaceDN w:val="0"/>
        <w:adjustRightInd w:val="0"/>
        <w:textAlignment w:val="baseline"/>
      </w:pPr>
    </w:p>
    <w:sectPr w:rsidR="00657C1E" w:rsidSect="00681B6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F47DB" w14:textId="77777777" w:rsidR="00156CD2" w:rsidRDefault="00156CD2">
      <w:r>
        <w:separator/>
      </w:r>
    </w:p>
  </w:endnote>
  <w:endnote w:type="continuationSeparator" w:id="0">
    <w:p w14:paraId="16C536C0" w14:textId="77777777" w:rsidR="00156CD2" w:rsidRDefault="00156CD2">
      <w:r>
        <w:continuationSeparator/>
      </w:r>
    </w:p>
  </w:endnote>
  <w:endnote w:type="continuationNotice" w:id="1">
    <w:p w14:paraId="654D782E" w14:textId="77777777" w:rsidR="00156CD2" w:rsidRDefault="00156C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4B35" w14:textId="77777777" w:rsidR="002A3979" w:rsidRDefault="002A3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309B" w14:textId="77777777" w:rsidR="002A3979" w:rsidRDefault="002A3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37DE" w14:textId="77777777" w:rsidR="002A3979" w:rsidRDefault="002A3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4079E" w14:textId="77777777" w:rsidR="00156CD2" w:rsidRDefault="00156CD2">
      <w:r>
        <w:separator/>
      </w:r>
    </w:p>
  </w:footnote>
  <w:footnote w:type="continuationSeparator" w:id="0">
    <w:p w14:paraId="38F4D5B5" w14:textId="77777777" w:rsidR="00156CD2" w:rsidRDefault="00156CD2">
      <w:r>
        <w:continuationSeparator/>
      </w:r>
    </w:p>
  </w:footnote>
  <w:footnote w:type="continuationNotice" w:id="1">
    <w:p w14:paraId="4B9FB074" w14:textId="77777777" w:rsidR="00156CD2" w:rsidRDefault="00156C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5951" w14:textId="77777777" w:rsidR="002A3979" w:rsidRDefault="002A3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3F71" w14:textId="77777777" w:rsidR="002A3979" w:rsidRDefault="002A3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754B" w14:textId="77777777" w:rsidR="002A3979" w:rsidRDefault="002A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8"/>
  </w:num>
  <w:num w:numId="3">
    <w:abstractNumId w:val="4"/>
  </w:num>
  <w:num w:numId="4">
    <w:abstractNumId w:val="10"/>
  </w:num>
  <w:num w:numId="5">
    <w:abstractNumId w:val="15"/>
  </w:num>
  <w:num w:numId="6">
    <w:abstractNumId w:val="1"/>
  </w:num>
  <w:num w:numId="7">
    <w:abstractNumId w:val="3"/>
  </w:num>
  <w:num w:numId="8">
    <w:abstractNumId w:val="16"/>
  </w:num>
  <w:num w:numId="9">
    <w:abstractNumId w:val="9"/>
  </w:num>
  <w:num w:numId="10">
    <w:abstractNumId w:val="13"/>
  </w:num>
  <w:num w:numId="11">
    <w:abstractNumId w:val="0"/>
  </w:num>
  <w:num w:numId="12">
    <w:abstractNumId w:val="11"/>
  </w:num>
  <w:num w:numId="13">
    <w:abstractNumId w:val="7"/>
  </w:num>
  <w:num w:numId="14">
    <w:abstractNumId w:val="14"/>
  </w:num>
  <w:num w:numId="15">
    <w:abstractNumId w:val="18"/>
  </w:num>
  <w:num w:numId="16">
    <w:abstractNumId w:val="5"/>
  </w:num>
  <w:num w:numId="17">
    <w:abstractNumId w:val="17"/>
  </w:num>
  <w:num w:numId="18">
    <w:abstractNumId w:val="12"/>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0F87"/>
    <w:rsid w:val="00001EA9"/>
    <w:rsid w:val="00012C6B"/>
    <w:rsid w:val="000149CB"/>
    <w:rsid w:val="00017E54"/>
    <w:rsid w:val="00033397"/>
    <w:rsid w:val="000342C7"/>
    <w:rsid w:val="00040095"/>
    <w:rsid w:val="00042620"/>
    <w:rsid w:val="00050A32"/>
    <w:rsid w:val="00051152"/>
    <w:rsid w:val="00051E4F"/>
    <w:rsid w:val="0005208F"/>
    <w:rsid w:val="0005212E"/>
    <w:rsid w:val="00052354"/>
    <w:rsid w:val="000545B5"/>
    <w:rsid w:val="0005493F"/>
    <w:rsid w:val="0005648A"/>
    <w:rsid w:val="00056E40"/>
    <w:rsid w:val="00056FCD"/>
    <w:rsid w:val="0006119F"/>
    <w:rsid w:val="00061BD0"/>
    <w:rsid w:val="000652C9"/>
    <w:rsid w:val="0006544A"/>
    <w:rsid w:val="00066BF8"/>
    <w:rsid w:val="00067E1F"/>
    <w:rsid w:val="00072A62"/>
    <w:rsid w:val="00074356"/>
    <w:rsid w:val="0008022F"/>
    <w:rsid w:val="00080512"/>
    <w:rsid w:val="00081167"/>
    <w:rsid w:val="00081665"/>
    <w:rsid w:val="00081942"/>
    <w:rsid w:val="00081C52"/>
    <w:rsid w:val="00082F68"/>
    <w:rsid w:val="0008382D"/>
    <w:rsid w:val="00086000"/>
    <w:rsid w:val="00086469"/>
    <w:rsid w:val="00086A0C"/>
    <w:rsid w:val="00086B99"/>
    <w:rsid w:val="000908BD"/>
    <w:rsid w:val="000923E5"/>
    <w:rsid w:val="00092B33"/>
    <w:rsid w:val="00096BF9"/>
    <w:rsid w:val="000A4BFA"/>
    <w:rsid w:val="000A5165"/>
    <w:rsid w:val="000B1DBC"/>
    <w:rsid w:val="000B276A"/>
    <w:rsid w:val="000B6362"/>
    <w:rsid w:val="000B76FD"/>
    <w:rsid w:val="000B7BCF"/>
    <w:rsid w:val="000C00D3"/>
    <w:rsid w:val="000C01E3"/>
    <w:rsid w:val="000C1CC1"/>
    <w:rsid w:val="000C1D67"/>
    <w:rsid w:val="000C5C6A"/>
    <w:rsid w:val="000C6AF3"/>
    <w:rsid w:val="000C6D96"/>
    <w:rsid w:val="000D58AB"/>
    <w:rsid w:val="000E153B"/>
    <w:rsid w:val="000E5662"/>
    <w:rsid w:val="000E6140"/>
    <w:rsid w:val="000E6E2B"/>
    <w:rsid w:val="000E72CB"/>
    <w:rsid w:val="000E7E52"/>
    <w:rsid w:val="000E7EBA"/>
    <w:rsid w:val="000F16C4"/>
    <w:rsid w:val="000F2AB8"/>
    <w:rsid w:val="000F3C3E"/>
    <w:rsid w:val="000F4440"/>
    <w:rsid w:val="000F56F0"/>
    <w:rsid w:val="000F6705"/>
    <w:rsid w:val="000F70E8"/>
    <w:rsid w:val="00101F3D"/>
    <w:rsid w:val="00105806"/>
    <w:rsid w:val="001124BC"/>
    <w:rsid w:val="001127A9"/>
    <w:rsid w:val="00117716"/>
    <w:rsid w:val="00117A12"/>
    <w:rsid w:val="00120BF6"/>
    <w:rsid w:val="00122797"/>
    <w:rsid w:val="001308CC"/>
    <w:rsid w:val="001326A8"/>
    <w:rsid w:val="00132931"/>
    <w:rsid w:val="00132C93"/>
    <w:rsid w:val="00133F54"/>
    <w:rsid w:val="00140A8D"/>
    <w:rsid w:val="00143147"/>
    <w:rsid w:val="00144B60"/>
    <w:rsid w:val="0014626D"/>
    <w:rsid w:val="00147492"/>
    <w:rsid w:val="00151A61"/>
    <w:rsid w:val="001535B6"/>
    <w:rsid w:val="0015555D"/>
    <w:rsid w:val="0015684E"/>
    <w:rsid w:val="00156CD2"/>
    <w:rsid w:val="001609C9"/>
    <w:rsid w:val="001649F0"/>
    <w:rsid w:val="001650E2"/>
    <w:rsid w:val="00166A27"/>
    <w:rsid w:val="00171959"/>
    <w:rsid w:val="00172244"/>
    <w:rsid w:val="00172AFA"/>
    <w:rsid w:val="001735C7"/>
    <w:rsid w:val="001735E3"/>
    <w:rsid w:val="00175E47"/>
    <w:rsid w:val="0017742A"/>
    <w:rsid w:val="00180081"/>
    <w:rsid w:val="0018089C"/>
    <w:rsid w:val="001846BC"/>
    <w:rsid w:val="00185B0F"/>
    <w:rsid w:val="00186930"/>
    <w:rsid w:val="001918E5"/>
    <w:rsid w:val="0019279C"/>
    <w:rsid w:val="00193437"/>
    <w:rsid w:val="00194CD0"/>
    <w:rsid w:val="001A2F0F"/>
    <w:rsid w:val="001A68CF"/>
    <w:rsid w:val="001A76F2"/>
    <w:rsid w:val="001B0179"/>
    <w:rsid w:val="001B342E"/>
    <w:rsid w:val="001C0D2D"/>
    <w:rsid w:val="001C7220"/>
    <w:rsid w:val="001C7C21"/>
    <w:rsid w:val="001D01A6"/>
    <w:rsid w:val="001D0230"/>
    <w:rsid w:val="001D068F"/>
    <w:rsid w:val="001D2FB8"/>
    <w:rsid w:val="001D393D"/>
    <w:rsid w:val="001D6244"/>
    <w:rsid w:val="001D6AAA"/>
    <w:rsid w:val="001E06DC"/>
    <w:rsid w:val="001E0B79"/>
    <w:rsid w:val="001E0C3D"/>
    <w:rsid w:val="001F0621"/>
    <w:rsid w:val="001F168B"/>
    <w:rsid w:val="001F2FCB"/>
    <w:rsid w:val="001F63AE"/>
    <w:rsid w:val="001F6772"/>
    <w:rsid w:val="00201237"/>
    <w:rsid w:val="0020399F"/>
    <w:rsid w:val="00203B4C"/>
    <w:rsid w:val="00204B62"/>
    <w:rsid w:val="002055E0"/>
    <w:rsid w:val="002057BC"/>
    <w:rsid w:val="0021049E"/>
    <w:rsid w:val="002175D9"/>
    <w:rsid w:val="0021768C"/>
    <w:rsid w:val="0022142C"/>
    <w:rsid w:val="0022606D"/>
    <w:rsid w:val="00230C70"/>
    <w:rsid w:val="00230E6E"/>
    <w:rsid w:val="002316E5"/>
    <w:rsid w:val="00233949"/>
    <w:rsid w:val="00234B21"/>
    <w:rsid w:val="00235D76"/>
    <w:rsid w:val="00240A89"/>
    <w:rsid w:val="00242903"/>
    <w:rsid w:val="002433EE"/>
    <w:rsid w:val="0024482C"/>
    <w:rsid w:val="0024510A"/>
    <w:rsid w:val="002456E8"/>
    <w:rsid w:val="00247E55"/>
    <w:rsid w:val="00251895"/>
    <w:rsid w:val="002528B3"/>
    <w:rsid w:val="00252E47"/>
    <w:rsid w:val="00253669"/>
    <w:rsid w:val="0025778B"/>
    <w:rsid w:val="00260365"/>
    <w:rsid w:val="00262D37"/>
    <w:rsid w:val="0027002E"/>
    <w:rsid w:val="00270A7F"/>
    <w:rsid w:val="002747EC"/>
    <w:rsid w:val="00274D2E"/>
    <w:rsid w:val="00275538"/>
    <w:rsid w:val="00280D7B"/>
    <w:rsid w:val="0028199F"/>
    <w:rsid w:val="002845EF"/>
    <w:rsid w:val="00284607"/>
    <w:rsid w:val="002855BF"/>
    <w:rsid w:val="00286494"/>
    <w:rsid w:val="00290FC8"/>
    <w:rsid w:val="002913FF"/>
    <w:rsid w:val="00292B91"/>
    <w:rsid w:val="0029437A"/>
    <w:rsid w:val="0029482D"/>
    <w:rsid w:val="002977E1"/>
    <w:rsid w:val="002A01A0"/>
    <w:rsid w:val="002A3979"/>
    <w:rsid w:val="002A4475"/>
    <w:rsid w:val="002A4ADC"/>
    <w:rsid w:val="002A6219"/>
    <w:rsid w:val="002B0220"/>
    <w:rsid w:val="002B11DB"/>
    <w:rsid w:val="002B707A"/>
    <w:rsid w:val="002C0917"/>
    <w:rsid w:val="002C2085"/>
    <w:rsid w:val="002C3D2A"/>
    <w:rsid w:val="002C64BA"/>
    <w:rsid w:val="002D282F"/>
    <w:rsid w:val="002E0428"/>
    <w:rsid w:val="002E0503"/>
    <w:rsid w:val="002E1920"/>
    <w:rsid w:val="002E1C53"/>
    <w:rsid w:val="002E1C71"/>
    <w:rsid w:val="002E57E8"/>
    <w:rsid w:val="002F0D22"/>
    <w:rsid w:val="002F1207"/>
    <w:rsid w:val="002F2626"/>
    <w:rsid w:val="002F3A38"/>
    <w:rsid w:val="002F7DFC"/>
    <w:rsid w:val="0030179E"/>
    <w:rsid w:val="00302503"/>
    <w:rsid w:val="0030508D"/>
    <w:rsid w:val="00306154"/>
    <w:rsid w:val="00306A7F"/>
    <w:rsid w:val="00306F6C"/>
    <w:rsid w:val="00307F65"/>
    <w:rsid w:val="00311508"/>
    <w:rsid w:val="003121E2"/>
    <w:rsid w:val="00312B8C"/>
    <w:rsid w:val="00313C14"/>
    <w:rsid w:val="00313D52"/>
    <w:rsid w:val="00313FFC"/>
    <w:rsid w:val="003172DC"/>
    <w:rsid w:val="0032093A"/>
    <w:rsid w:val="00323ED0"/>
    <w:rsid w:val="00326069"/>
    <w:rsid w:val="003266E5"/>
    <w:rsid w:val="00326BFD"/>
    <w:rsid w:val="00326C2D"/>
    <w:rsid w:val="00327623"/>
    <w:rsid w:val="003304C9"/>
    <w:rsid w:val="003330E3"/>
    <w:rsid w:val="00334964"/>
    <w:rsid w:val="00337B73"/>
    <w:rsid w:val="003415FD"/>
    <w:rsid w:val="00341736"/>
    <w:rsid w:val="00341D30"/>
    <w:rsid w:val="003424D0"/>
    <w:rsid w:val="003454FC"/>
    <w:rsid w:val="003474A6"/>
    <w:rsid w:val="003474A7"/>
    <w:rsid w:val="003475EF"/>
    <w:rsid w:val="003507BF"/>
    <w:rsid w:val="00350B92"/>
    <w:rsid w:val="0035110D"/>
    <w:rsid w:val="003530FE"/>
    <w:rsid w:val="00353EE1"/>
    <w:rsid w:val="0035462D"/>
    <w:rsid w:val="00354A4F"/>
    <w:rsid w:val="00354B77"/>
    <w:rsid w:val="003559AE"/>
    <w:rsid w:val="00356EC2"/>
    <w:rsid w:val="00363CC2"/>
    <w:rsid w:val="0036429C"/>
    <w:rsid w:val="0036469A"/>
    <w:rsid w:val="00371168"/>
    <w:rsid w:val="00372A47"/>
    <w:rsid w:val="00373826"/>
    <w:rsid w:val="0037419B"/>
    <w:rsid w:val="0037429E"/>
    <w:rsid w:val="00381CF1"/>
    <w:rsid w:val="00386353"/>
    <w:rsid w:val="00387439"/>
    <w:rsid w:val="003922F5"/>
    <w:rsid w:val="0039304A"/>
    <w:rsid w:val="00393A2B"/>
    <w:rsid w:val="003953AB"/>
    <w:rsid w:val="00395C9F"/>
    <w:rsid w:val="00395FDA"/>
    <w:rsid w:val="003976C3"/>
    <w:rsid w:val="003A20EC"/>
    <w:rsid w:val="003A68D5"/>
    <w:rsid w:val="003B2140"/>
    <w:rsid w:val="003B316C"/>
    <w:rsid w:val="003B4926"/>
    <w:rsid w:val="003B50E1"/>
    <w:rsid w:val="003C48A5"/>
    <w:rsid w:val="003C49C5"/>
    <w:rsid w:val="003C4E37"/>
    <w:rsid w:val="003D59CD"/>
    <w:rsid w:val="003D68B5"/>
    <w:rsid w:val="003D7C4B"/>
    <w:rsid w:val="003E16BE"/>
    <w:rsid w:val="003E5481"/>
    <w:rsid w:val="003E5F28"/>
    <w:rsid w:val="003F11E0"/>
    <w:rsid w:val="003F39F5"/>
    <w:rsid w:val="00400DEB"/>
    <w:rsid w:val="00401855"/>
    <w:rsid w:val="004021E6"/>
    <w:rsid w:val="0040278D"/>
    <w:rsid w:val="00402A26"/>
    <w:rsid w:val="004056CA"/>
    <w:rsid w:val="00415695"/>
    <w:rsid w:val="00415DCC"/>
    <w:rsid w:val="00420701"/>
    <w:rsid w:val="00421512"/>
    <w:rsid w:val="00424B9F"/>
    <w:rsid w:val="00426CEC"/>
    <w:rsid w:val="00432D1E"/>
    <w:rsid w:val="00433E79"/>
    <w:rsid w:val="00434307"/>
    <w:rsid w:val="004431EB"/>
    <w:rsid w:val="00450326"/>
    <w:rsid w:val="00450759"/>
    <w:rsid w:val="00452112"/>
    <w:rsid w:val="00453C49"/>
    <w:rsid w:val="00457EE3"/>
    <w:rsid w:val="00467718"/>
    <w:rsid w:val="00471964"/>
    <w:rsid w:val="0047760F"/>
    <w:rsid w:val="004835B0"/>
    <w:rsid w:val="00483AFF"/>
    <w:rsid w:val="0048447B"/>
    <w:rsid w:val="00485319"/>
    <w:rsid w:val="004854E4"/>
    <w:rsid w:val="00486CD7"/>
    <w:rsid w:val="00490813"/>
    <w:rsid w:val="00491FB3"/>
    <w:rsid w:val="00493F5A"/>
    <w:rsid w:val="00495D58"/>
    <w:rsid w:val="004964A5"/>
    <w:rsid w:val="00496714"/>
    <w:rsid w:val="004A0703"/>
    <w:rsid w:val="004A10EC"/>
    <w:rsid w:val="004A200B"/>
    <w:rsid w:val="004A4F0F"/>
    <w:rsid w:val="004A5614"/>
    <w:rsid w:val="004A5F6B"/>
    <w:rsid w:val="004A6DA1"/>
    <w:rsid w:val="004B1C88"/>
    <w:rsid w:val="004B23B9"/>
    <w:rsid w:val="004B63BD"/>
    <w:rsid w:val="004B7849"/>
    <w:rsid w:val="004C206C"/>
    <w:rsid w:val="004C2994"/>
    <w:rsid w:val="004D3578"/>
    <w:rsid w:val="004D380D"/>
    <w:rsid w:val="004D4144"/>
    <w:rsid w:val="004D4F73"/>
    <w:rsid w:val="004E213A"/>
    <w:rsid w:val="004E2FA7"/>
    <w:rsid w:val="004E3F71"/>
    <w:rsid w:val="004E4813"/>
    <w:rsid w:val="004E661A"/>
    <w:rsid w:val="004F0A14"/>
    <w:rsid w:val="004F6A3F"/>
    <w:rsid w:val="004F73CB"/>
    <w:rsid w:val="0050194C"/>
    <w:rsid w:val="00502ACC"/>
    <w:rsid w:val="00503171"/>
    <w:rsid w:val="00505386"/>
    <w:rsid w:val="005102F9"/>
    <w:rsid w:val="00511172"/>
    <w:rsid w:val="00512309"/>
    <w:rsid w:val="00512CFF"/>
    <w:rsid w:val="00514482"/>
    <w:rsid w:val="00521FCB"/>
    <w:rsid w:val="00522C51"/>
    <w:rsid w:val="005232B9"/>
    <w:rsid w:val="00526E01"/>
    <w:rsid w:val="00527484"/>
    <w:rsid w:val="0053046E"/>
    <w:rsid w:val="005331DC"/>
    <w:rsid w:val="00534DA0"/>
    <w:rsid w:val="005358B8"/>
    <w:rsid w:val="00543D48"/>
    <w:rsid w:val="00543E6C"/>
    <w:rsid w:val="00550FE1"/>
    <w:rsid w:val="00552573"/>
    <w:rsid w:val="00557A28"/>
    <w:rsid w:val="00560449"/>
    <w:rsid w:val="00563145"/>
    <w:rsid w:val="00564CCC"/>
    <w:rsid w:val="00565087"/>
    <w:rsid w:val="0056573F"/>
    <w:rsid w:val="00566D2C"/>
    <w:rsid w:val="00571C17"/>
    <w:rsid w:val="00572BB8"/>
    <w:rsid w:val="00576D14"/>
    <w:rsid w:val="00581952"/>
    <w:rsid w:val="00586F17"/>
    <w:rsid w:val="0059146F"/>
    <w:rsid w:val="005924C0"/>
    <w:rsid w:val="00592B81"/>
    <w:rsid w:val="00593D01"/>
    <w:rsid w:val="00593DE2"/>
    <w:rsid w:val="00597653"/>
    <w:rsid w:val="005A02F2"/>
    <w:rsid w:val="005A0389"/>
    <w:rsid w:val="005A1D77"/>
    <w:rsid w:val="005A3223"/>
    <w:rsid w:val="005A60D4"/>
    <w:rsid w:val="005B0915"/>
    <w:rsid w:val="005B1232"/>
    <w:rsid w:val="005B34D8"/>
    <w:rsid w:val="005B6646"/>
    <w:rsid w:val="005B705A"/>
    <w:rsid w:val="005C0659"/>
    <w:rsid w:val="005C32F5"/>
    <w:rsid w:val="005C6769"/>
    <w:rsid w:val="005D0069"/>
    <w:rsid w:val="005D0D4A"/>
    <w:rsid w:val="005D3630"/>
    <w:rsid w:val="005D56EE"/>
    <w:rsid w:val="005D6446"/>
    <w:rsid w:val="005D7E77"/>
    <w:rsid w:val="005E3827"/>
    <w:rsid w:val="005E4028"/>
    <w:rsid w:val="005E431B"/>
    <w:rsid w:val="005E566B"/>
    <w:rsid w:val="005F11C7"/>
    <w:rsid w:val="005F14F2"/>
    <w:rsid w:val="005F2037"/>
    <w:rsid w:val="005F2419"/>
    <w:rsid w:val="005F2837"/>
    <w:rsid w:val="005F30F9"/>
    <w:rsid w:val="005F71B4"/>
    <w:rsid w:val="005F76EC"/>
    <w:rsid w:val="006025D4"/>
    <w:rsid w:val="00604337"/>
    <w:rsid w:val="00605C62"/>
    <w:rsid w:val="00606722"/>
    <w:rsid w:val="00611566"/>
    <w:rsid w:val="006146CF"/>
    <w:rsid w:val="00617799"/>
    <w:rsid w:val="00617C52"/>
    <w:rsid w:val="00620762"/>
    <w:rsid w:val="00622E1A"/>
    <w:rsid w:val="006315EB"/>
    <w:rsid w:val="0063292C"/>
    <w:rsid w:val="0063293A"/>
    <w:rsid w:val="00632BD8"/>
    <w:rsid w:val="00633931"/>
    <w:rsid w:val="00635A91"/>
    <w:rsid w:val="00636E70"/>
    <w:rsid w:val="00636EE6"/>
    <w:rsid w:val="006376A2"/>
    <w:rsid w:val="0064041A"/>
    <w:rsid w:val="006411D5"/>
    <w:rsid w:val="006414E1"/>
    <w:rsid w:val="00642606"/>
    <w:rsid w:val="00646C53"/>
    <w:rsid w:val="00646D77"/>
    <w:rsid w:val="00646EB8"/>
    <w:rsid w:val="006472D2"/>
    <w:rsid w:val="00651192"/>
    <w:rsid w:val="00651AAB"/>
    <w:rsid w:val="00651F94"/>
    <w:rsid w:val="006530AA"/>
    <w:rsid w:val="00656467"/>
    <w:rsid w:val="006567F6"/>
    <w:rsid w:val="00656D67"/>
    <w:rsid w:val="00657C1E"/>
    <w:rsid w:val="00660AB5"/>
    <w:rsid w:val="00660FC8"/>
    <w:rsid w:val="006615B7"/>
    <w:rsid w:val="00661F35"/>
    <w:rsid w:val="0066625C"/>
    <w:rsid w:val="00666915"/>
    <w:rsid w:val="00667667"/>
    <w:rsid w:val="006720C3"/>
    <w:rsid w:val="00672C5E"/>
    <w:rsid w:val="006752FD"/>
    <w:rsid w:val="00675E9B"/>
    <w:rsid w:val="00681B62"/>
    <w:rsid w:val="00683C17"/>
    <w:rsid w:val="00685083"/>
    <w:rsid w:val="006859FC"/>
    <w:rsid w:val="00690975"/>
    <w:rsid w:val="00690FBE"/>
    <w:rsid w:val="0069652A"/>
    <w:rsid w:val="006A04E4"/>
    <w:rsid w:val="006A18B1"/>
    <w:rsid w:val="006A364A"/>
    <w:rsid w:val="006A489D"/>
    <w:rsid w:val="006B04EB"/>
    <w:rsid w:val="006C2B93"/>
    <w:rsid w:val="006C3245"/>
    <w:rsid w:val="006C790C"/>
    <w:rsid w:val="006C7A66"/>
    <w:rsid w:val="006D04FE"/>
    <w:rsid w:val="006D183B"/>
    <w:rsid w:val="006D1E24"/>
    <w:rsid w:val="006D2171"/>
    <w:rsid w:val="006D231C"/>
    <w:rsid w:val="006D333D"/>
    <w:rsid w:val="006D433E"/>
    <w:rsid w:val="006D6322"/>
    <w:rsid w:val="006D7D23"/>
    <w:rsid w:val="006D7D31"/>
    <w:rsid w:val="006E1F1F"/>
    <w:rsid w:val="006E618D"/>
    <w:rsid w:val="006F12A8"/>
    <w:rsid w:val="006F13B1"/>
    <w:rsid w:val="006F1FA3"/>
    <w:rsid w:val="006F2AAC"/>
    <w:rsid w:val="006F3212"/>
    <w:rsid w:val="006F4FC0"/>
    <w:rsid w:val="007004C2"/>
    <w:rsid w:val="00702D2C"/>
    <w:rsid w:val="00702D56"/>
    <w:rsid w:val="0070544D"/>
    <w:rsid w:val="00711754"/>
    <w:rsid w:val="0071199A"/>
    <w:rsid w:val="00711CED"/>
    <w:rsid w:val="00715CF2"/>
    <w:rsid w:val="0071660D"/>
    <w:rsid w:val="00716D58"/>
    <w:rsid w:val="00717BE5"/>
    <w:rsid w:val="00721362"/>
    <w:rsid w:val="00721A75"/>
    <w:rsid w:val="00725A9B"/>
    <w:rsid w:val="00725B91"/>
    <w:rsid w:val="00726E5F"/>
    <w:rsid w:val="00731BBF"/>
    <w:rsid w:val="007325B2"/>
    <w:rsid w:val="00732D26"/>
    <w:rsid w:val="007331A2"/>
    <w:rsid w:val="00733B68"/>
    <w:rsid w:val="00733D9A"/>
    <w:rsid w:val="00733E14"/>
    <w:rsid w:val="00734A5B"/>
    <w:rsid w:val="00735095"/>
    <w:rsid w:val="007408AA"/>
    <w:rsid w:val="00742247"/>
    <w:rsid w:val="00742A25"/>
    <w:rsid w:val="00743560"/>
    <w:rsid w:val="00744742"/>
    <w:rsid w:val="00744E76"/>
    <w:rsid w:val="007464F1"/>
    <w:rsid w:val="00746F32"/>
    <w:rsid w:val="00747986"/>
    <w:rsid w:val="00747B1C"/>
    <w:rsid w:val="0075088D"/>
    <w:rsid w:val="00750CE7"/>
    <w:rsid w:val="007511B4"/>
    <w:rsid w:val="007533DC"/>
    <w:rsid w:val="00754962"/>
    <w:rsid w:val="0075589F"/>
    <w:rsid w:val="00756CBB"/>
    <w:rsid w:val="00757D40"/>
    <w:rsid w:val="00761EF2"/>
    <w:rsid w:val="00763705"/>
    <w:rsid w:val="00764FCD"/>
    <w:rsid w:val="00765A74"/>
    <w:rsid w:val="00765BA8"/>
    <w:rsid w:val="007669D4"/>
    <w:rsid w:val="00771825"/>
    <w:rsid w:val="00772E0E"/>
    <w:rsid w:val="0078196E"/>
    <w:rsid w:val="00781F0F"/>
    <w:rsid w:val="00784DC4"/>
    <w:rsid w:val="00787213"/>
    <w:rsid w:val="0078727C"/>
    <w:rsid w:val="007934C8"/>
    <w:rsid w:val="0079493F"/>
    <w:rsid w:val="0079584B"/>
    <w:rsid w:val="00795A71"/>
    <w:rsid w:val="00796008"/>
    <w:rsid w:val="007A1C1A"/>
    <w:rsid w:val="007A4B1A"/>
    <w:rsid w:val="007A6B98"/>
    <w:rsid w:val="007A6C7D"/>
    <w:rsid w:val="007B19D4"/>
    <w:rsid w:val="007B2D9C"/>
    <w:rsid w:val="007B68B7"/>
    <w:rsid w:val="007B7782"/>
    <w:rsid w:val="007C095F"/>
    <w:rsid w:val="007C5546"/>
    <w:rsid w:val="007C74BA"/>
    <w:rsid w:val="007D20ED"/>
    <w:rsid w:val="007D352B"/>
    <w:rsid w:val="007D4384"/>
    <w:rsid w:val="007D6F9E"/>
    <w:rsid w:val="007D73D2"/>
    <w:rsid w:val="007D7863"/>
    <w:rsid w:val="007E08DE"/>
    <w:rsid w:val="007E455A"/>
    <w:rsid w:val="007E5A87"/>
    <w:rsid w:val="007F00DF"/>
    <w:rsid w:val="007F02B6"/>
    <w:rsid w:val="007F0F51"/>
    <w:rsid w:val="007F122D"/>
    <w:rsid w:val="007F2205"/>
    <w:rsid w:val="007F35B9"/>
    <w:rsid w:val="007F7263"/>
    <w:rsid w:val="008028A4"/>
    <w:rsid w:val="00803FFD"/>
    <w:rsid w:val="008047CD"/>
    <w:rsid w:val="008069E1"/>
    <w:rsid w:val="00812842"/>
    <w:rsid w:val="0081452D"/>
    <w:rsid w:val="0081600D"/>
    <w:rsid w:val="00816515"/>
    <w:rsid w:val="008176B8"/>
    <w:rsid w:val="00821C75"/>
    <w:rsid w:val="00823EA6"/>
    <w:rsid w:val="00824141"/>
    <w:rsid w:val="00825697"/>
    <w:rsid w:val="00827535"/>
    <w:rsid w:val="00831088"/>
    <w:rsid w:val="00831345"/>
    <w:rsid w:val="00832EFA"/>
    <w:rsid w:val="008340CB"/>
    <w:rsid w:val="00834649"/>
    <w:rsid w:val="00835054"/>
    <w:rsid w:val="00836413"/>
    <w:rsid w:val="008376A5"/>
    <w:rsid w:val="008401E2"/>
    <w:rsid w:val="0084078C"/>
    <w:rsid w:val="008430A2"/>
    <w:rsid w:val="00843C2A"/>
    <w:rsid w:val="00845057"/>
    <w:rsid w:val="00846E07"/>
    <w:rsid w:val="0084799A"/>
    <w:rsid w:val="008524FC"/>
    <w:rsid w:val="00852A5B"/>
    <w:rsid w:val="00852D39"/>
    <w:rsid w:val="00853978"/>
    <w:rsid w:val="00854C37"/>
    <w:rsid w:val="00855D18"/>
    <w:rsid w:val="00856D25"/>
    <w:rsid w:val="0085724C"/>
    <w:rsid w:val="00861375"/>
    <w:rsid w:val="00864844"/>
    <w:rsid w:val="00864D97"/>
    <w:rsid w:val="00866E76"/>
    <w:rsid w:val="00867BDE"/>
    <w:rsid w:val="00870AEC"/>
    <w:rsid w:val="00871B0D"/>
    <w:rsid w:val="00873F5C"/>
    <w:rsid w:val="008768CA"/>
    <w:rsid w:val="00877574"/>
    <w:rsid w:val="00880559"/>
    <w:rsid w:val="00881CF3"/>
    <w:rsid w:val="00882561"/>
    <w:rsid w:val="00883F19"/>
    <w:rsid w:val="008879C0"/>
    <w:rsid w:val="00894C80"/>
    <w:rsid w:val="00896279"/>
    <w:rsid w:val="0089631F"/>
    <w:rsid w:val="00896515"/>
    <w:rsid w:val="008A3B1C"/>
    <w:rsid w:val="008B1BEE"/>
    <w:rsid w:val="008B3EE5"/>
    <w:rsid w:val="008B5838"/>
    <w:rsid w:val="008B78FD"/>
    <w:rsid w:val="008C4B29"/>
    <w:rsid w:val="008C4CE8"/>
    <w:rsid w:val="008C60BD"/>
    <w:rsid w:val="008D2D18"/>
    <w:rsid w:val="008D433A"/>
    <w:rsid w:val="008D575F"/>
    <w:rsid w:val="008D5E70"/>
    <w:rsid w:val="008D6375"/>
    <w:rsid w:val="008E0D52"/>
    <w:rsid w:val="008F1C1B"/>
    <w:rsid w:val="008F1FDD"/>
    <w:rsid w:val="008F56A0"/>
    <w:rsid w:val="008F5E56"/>
    <w:rsid w:val="00900782"/>
    <w:rsid w:val="009025E6"/>
    <w:rsid w:val="0090271F"/>
    <w:rsid w:val="00904F33"/>
    <w:rsid w:val="00910049"/>
    <w:rsid w:val="00915010"/>
    <w:rsid w:val="009164E5"/>
    <w:rsid w:val="00916B7E"/>
    <w:rsid w:val="00917CA5"/>
    <w:rsid w:val="00920F0E"/>
    <w:rsid w:val="00923B9F"/>
    <w:rsid w:val="009265A4"/>
    <w:rsid w:val="009266DC"/>
    <w:rsid w:val="00936FFC"/>
    <w:rsid w:val="0093787E"/>
    <w:rsid w:val="00942EC2"/>
    <w:rsid w:val="0094462F"/>
    <w:rsid w:val="00944BB6"/>
    <w:rsid w:val="009451A2"/>
    <w:rsid w:val="00945637"/>
    <w:rsid w:val="00947224"/>
    <w:rsid w:val="00952560"/>
    <w:rsid w:val="00952B52"/>
    <w:rsid w:val="00954F6C"/>
    <w:rsid w:val="009561FE"/>
    <w:rsid w:val="0095771D"/>
    <w:rsid w:val="009606E8"/>
    <w:rsid w:val="00961B32"/>
    <w:rsid w:val="009638AB"/>
    <w:rsid w:val="0096412C"/>
    <w:rsid w:val="00967F3D"/>
    <w:rsid w:val="00967FAE"/>
    <w:rsid w:val="0097124C"/>
    <w:rsid w:val="0097184A"/>
    <w:rsid w:val="00971C47"/>
    <w:rsid w:val="00971D97"/>
    <w:rsid w:val="009735D6"/>
    <w:rsid w:val="00974BB0"/>
    <w:rsid w:val="00984571"/>
    <w:rsid w:val="00985642"/>
    <w:rsid w:val="00986D8E"/>
    <w:rsid w:val="00987B0E"/>
    <w:rsid w:val="0099180C"/>
    <w:rsid w:val="00993BBC"/>
    <w:rsid w:val="00997D92"/>
    <w:rsid w:val="009A3390"/>
    <w:rsid w:val="009A3AC7"/>
    <w:rsid w:val="009A4FD4"/>
    <w:rsid w:val="009A76D3"/>
    <w:rsid w:val="009B2C2F"/>
    <w:rsid w:val="009C0AAF"/>
    <w:rsid w:val="009C1096"/>
    <w:rsid w:val="009C259E"/>
    <w:rsid w:val="009C55E8"/>
    <w:rsid w:val="009D4A73"/>
    <w:rsid w:val="009D629E"/>
    <w:rsid w:val="009E0931"/>
    <w:rsid w:val="009F056C"/>
    <w:rsid w:val="009F37EC"/>
    <w:rsid w:val="009F5912"/>
    <w:rsid w:val="009F6D42"/>
    <w:rsid w:val="00A00DC2"/>
    <w:rsid w:val="00A01222"/>
    <w:rsid w:val="00A041E8"/>
    <w:rsid w:val="00A06B0E"/>
    <w:rsid w:val="00A10F02"/>
    <w:rsid w:val="00A113D9"/>
    <w:rsid w:val="00A14914"/>
    <w:rsid w:val="00A15A0A"/>
    <w:rsid w:val="00A169DC"/>
    <w:rsid w:val="00A23159"/>
    <w:rsid w:val="00A23987"/>
    <w:rsid w:val="00A2408B"/>
    <w:rsid w:val="00A30EE8"/>
    <w:rsid w:val="00A319AA"/>
    <w:rsid w:val="00A32BB7"/>
    <w:rsid w:val="00A334A1"/>
    <w:rsid w:val="00A34694"/>
    <w:rsid w:val="00A35C09"/>
    <w:rsid w:val="00A4390A"/>
    <w:rsid w:val="00A43DCA"/>
    <w:rsid w:val="00A44166"/>
    <w:rsid w:val="00A44B15"/>
    <w:rsid w:val="00A45225"/>
    <w:rsid w:val="00A500F0"/>
    <w:rsid w:val="00A51BA2"/>
    <w:rsid w:val="00A53724"/>
    <w:rsid w:val="00A55E74"/>
    <w:rsid w:val="00A5718E"/>
    <w:rsid w:val="00A61EC7"/>
    <w:rsid w:val="00A620C3"/>
    <w:rsid w:val="00A63CB9"/>
    <w:rsid w:val="00A66275"/>
    <w:rsid w:val="00A74BC8"/>
    <w:rsid w:val="00A77C20"/>
    <w:rsid w:val="00A8035B"/>
    <w:rsid w:val="00A806FA"/>
    <w:rsid w:val="00A82346"/>
    <w:rsid w:val="00A82E4F"/>
    <w:rsid w:val="00A847F7"/>
    <w:rsid w:val="00A85310"/>
    <w:rsid w:val="00A87A55"/>
    <w:rsid w:val="00A927F0"/>
    <w:rsid w:val="00A95D85"/>
    <w:rsid w:val="00A9671C"/>
    <w:rsid w:val="00AA2102"/>
    <w:rsid w:val="00AA2EC0"/>
    <w:rsid w:val="00AA4E8F"/>
    <w:rsid w:val="00AB01AD"/>
    <w:rsid w:val="00AB0EE8"/>
    <w:rsid w:val="00AB7904"/>
    <w:rsid w:val="00AC03A2"/>
    <w:rsid w:val="00AC205B"/>
    <w:rsid w:val="00AC2104"/>
    <w:rsid w:val="00AC30E3"/>
    <w:rsid w:val="00AD3281"/>
    <w:rsid w:val="00AD4E1E"/>
    <w:rsid w:val="00AD6538"/>
    <w:rsid w:val="00AD6C2A"/>
    <w:rsid w:val="00AE1816"/>
    <w:rsid w:val="00AE4952"/>
    <w:rsid w:val="00AE4D66"/>
    <w:rsid w:val="00AE79DD"/>
    <w:rsid w:val="00AF091A"/>
    <w:rsid w:val="00AF6AC6"/>
    <w:rsid w:val="00B00AF5"/>
    <w:rsid w:val="00B01F92"/>
    <w:rsid w:val="00B03DB3"/>
    <w:rsid w:val="00B04AEC"/>
    <w:rsid w:val="00B05E1E"/>
    <w:rsid w:val="00B12217"/>
    <w:rsid w:val="00B12C1A"/>
    <w:rsid w:val="00B1335E"/>
    <w:rsid w:val="00B15449"/>
    <w:rsid w:val="00B159D3"/>
    <w:rsid w:val="00B167B0"/>
    <w:rsid w:val="00B2235D"/>
    <w:rsid w:val="00B25551"/>
    <w:rsid w:val="00B25E3B"/>
    <w:rsid w:val="00B31AA3"/>
    <w:rsid w:val="00B32436"/>
    <w:rsid w:val="00B34E2B"/>
    <w:rsid w:val="00B35B30"/>
    <w:rsid w:val="00B37066"/>
    <w:rsid w:val="00B44002"/>
    <w:rsid w:val="00B4479D"/>
    <w:rsid w:val="00B4774E"/>
    <w:rsid w:val="00B47B4C"/>
    <w:rsid w:val="00B558E9"/>
    <w:rsid w:val="00B573A0"/>
    <w:rsid w:val="00B62ADC"/>
    <w:rsid w:val="00B6400F"/>
    <w:rsid w:val="00B64415"/>
    <w:rsid w:val="00B67516"/>
    <w:rsid w:val="00B67FC5"/>
    <w:rsid w:val="00B7015E"/>
    <w:rsid w:val="00B704B9"/>
    <w:rsid w:val="00B7082F"/>
    <w:rsid w:val="00B712EF"/>
    <w:rsid w:val="00B73F92"/>
    <w:rsid w:val="00B74201"/>
    <w:rsid w:val="00B74F24"/>
    <w:rsid w:val="00B77D03"/>
    <w:rsid w:val="00B82901"/>
    <w:rsid w:val="00B82F45"/>
    <w:rsid w:val="00B836B3"/>
    <w:rsid w:val="00B83917"/>
    <w:rsid w:val="00B846AE"/>
    <w:rsid w:val="00B9006E"/>
    <w:rsid w:val="00B90FAF"/>
    <w:rsid w:val="00B97C27"/>
    <w:rsid w:val="00BA0F1F"/>
    <w:rsid w:val="00BA2519"/>
    <w:rsid w:val="00BA79DD"/>
    <w:rsid w:val="00BB00A6"/>
    <w:rsid w:val="00BB05BD"/>
    <w:rsid w:val="00BB58EC"/>
    <w:rsid w:val="00BB78E4"/>
    <w:rsid w:val="00BC4E5B"/>
    <w:rsid w:val="00BD2981"/>
    <w:rsid w:val="00BD4231"/>
    <w:rsid w:val="00BD44AA"/>
    <w:rsid w:val="00BD4834"/>
    <w:rsid w:val="00BD4919"/>
    <w:rsid w:val="00BD7295"/>
    <w:rsid w:val="00BE3ECA"/>
    <w:rsid w:val="00BE5235"/>
    <w:rsid w:val="00BE557B"/>
    <w:rsid w:val="00BE616E"/>
    <w:rsid w:val="00BF41EC"/>
    <w:rsid w:val="00BF4E0E"/>
    <w:rsid w:val="00BF4EA9"/>
    <w:rsid w:val="00BF6BFD"/>
    <w:rsid w:val="00BF77B2"/>
    <w:rsid w:val="00BF79F1"/>
    <w:rsid w:val="00C01A56"/>
    <w:rsid w:val="00C01EE0"/>
    <w:rsid w:val="00C025B4"/>
    <w:rsid w:val="00C03497"/>
    <w:rsid w:val="00C06364"/>
    <w:rsid w:val="00C10EDD"/>
    <w:rsid w:val="00C11681"/>
    <w:rsid w:val="00C16011"/>
    <w:rsid w:val="00C1606D"/>
    <w:rsid w:val="00C31DBC"/>
    <w:rsid w:val="00C33079"/>
    <w:rsid w:val="00C37AFB"/>
    <w:rsid w:val="00C40E35"/>
    <w:rsid w:val="00C4286B"/>
    <w:rsid w:val="00C431D2"/>
    <w:rsid w:val="00C43CDF"/>
    <w:rsid w:val="00C46C0C"/>
    <w:rsid w:val="00C50331"/>
    <w:rsid w:val="00C5249E"/>
    <w:rsid w:val="00C52503"/>
    <w:rsid w:val="00C5434A"/>
    <w:rsid w:val="00C61F07"/>
    <w:rsid w:val="00C631C3"/>
    <w:rsid w:val="00C65E0F"/>
    <w:rsid w:val="00C67D12"/>
    <w:rsid w:val="00C717EC"/>
    <w:rsid w:val="00C72F4A"/>
    <w:rsid w:val="00C74D1C"/>
    <w:rsid w:val="00C760C9"/>
    <w:rsid w:val="00C80415"/>
    <w:rsid w:val="00C83902"/>
    <w:rsid w:val="00C83B8B"/>
    <w:rsid w:val="00C84729"/>
    <w:rsid w:val="00C90C4A"/>
    <w:rsid w:val="00C936B5"/>
    <w:rsid w:val="00C937B8"/>
    <w:rsid w:val="00C938E9"/>
    <w:rsid w:val="00C960D5"/>
    <w:rsid w:val="00C96E8D"/>
    <w:rsid w:val="00C977CD"/>
    <w:rsid w:val="00CA0917"/>
    <w:rsid w:val="00CA0EB3"/>
    <w:rsid w:val="00CA1E03"/>
    <w:rsid w:val="00CA3D0C"/>
    <w:rsid w:val="00CA59BE"/>
    <w:rsid w:val="00CA5D43"/>
    <w:rsid w:val="00CA6F4C"/>
    <w:rsid w:val="00CB0364"/>
    <w:rsid w:val="00CB12EB"/>
    <w:rsid w:val="00CB510F"/>
    <w:rsid w:val="00CB5CFF"/>
    <w:rsid w:val="00CB6122"/>
    <w:rsid w:val="00CB6AF0"/>
    <w:rsid w:val="00CC11D7"/>
    <w:rsid w:val="00CC122B"/>
    <w:rsid w:val="00CC168B"/>
    <w:rsid w:val="00CC2D87"/>
    <w:rsid w:val="00CC44EF"/>
    <w:rsid w:val="00CD01F8"/>
    <w:rsid w:val="00CD2620"/>
    <w:rsid w:val="00CD3606"/>
    <w:rsid w:val="00CD4C7B"/>
    <w:rsid w:val="00CD6AFE"/>
    <w:rsid w:val="00CD6C7B"/>
    <w:rsid w:val="00CD79DB"/>
    <w:rsid w:val="00CE07A8"/>
    <w:rsid w:val="00CE3415"/>
    <w:rsid w:val="00CE3A2A"/>
    <w:rsid w:val="00CE3BEF"/>
    <w:rsid w:val="00CE582F"/>
    <w:rsid w:val="00CF3222"/>
    <w:rsid w:val="00CF3CD6"/>
    <w:rsid w:val="00CF47EC"/>
    <w:rsid w:val="00CF6B19"/>
    <w:rsid w:val="00D0348B"/>
    <w:rsid w:val="00D0367E"/>
    <w:rsid w:val="00D0471F"/>
    <w:rsid w:val="00D072F9"/>
    <w:rsid w:val="00D07600"/>
    <w:rsid w:val="00D07AEB"/>
    <w:rsid w:val="00D10CEF"/>
    <w:rsid w:val="00D1302D"/>
    <w:rsid w:val="00D14570"/>
    <w:rsid w:val="00D20000"/>
    <w:rsid w:val="00D20586"/>
    <w:rsid w:val="00D20D27"/>
    <w:rsid w:val="00D2263F"/>
    <w:rsid w:val="00D2548D"/>
    <w:rsid w:val="00D26334"/>
    <w:rsid w:val="00D316E4"/>
    <w:rsid w:val="00D32E0F"/>
    <w:rsid w:val="00D334AB"/>
    <w:rsid w:val="00D34147"/>
    <w:rsid w:val="00D34B44"/>
    <w:rsid w:val="00D36592"/>
    <w:rsid w:val="00D373A3"/>
    <w:rsid w:val="00D3793C"/>
    <w:rsid w:val="00D46851"/>
    <w:rsid w:val="00D47AA0"/>
    <w:rsid w:val="00D515CE"/>
    <w:rsid w:val="00D53116"/>
    <w:rsid w:val="00D53356"/>
    <w:rsid w:val="00D53428"/>
    <w:rsid w:val="00D537F6"/>
    <w:rsid w:val="00D54038"/>
    <w:rsid w:val="00D541F9"/>
    <w:rsid w:val="00D551D2"/>
    <w:rsid w:val="00D5732A"/>
    <w:rsid w:val="00D57A54"/>
    <w:rsid w:val="00D624B8"/>
    <w:rsid w:val="00D62598"/>
    <w:rsid w:val="00D62C0A"/>
    <w:rsid w:val="00D655C5"/>
    <w:rsid w:val="00D71F44"/>
    <w:rsid w:val="00D738D6"/>
    <w:rsid w:val="00D74075"/>
    <w:rsid w:val="00D747B1"/>
    <w:rsid w:val="00D76883"/>
    <w:rsid w:val="00D804B7"/>
    <w:rsid w:val="00D80795"/>
    <w:rsid w:val="00D808B5"/>
    <w:rsid w:val="00D81721"/>
    <w:rsid w:val="00D83F3C"/>
    <w:rsid w:val="00D85150"/>
    <w:rsid w:val="00D85940"/>
    <w:rsid w:val="00D87E00"/>
    <w:rsid w:val="00D9134D"/>
    <w:rsid w:val="00D92464"/>
    <w:rsid w:val="00D96025"/>
    <w:rsid w:val="00D96454"/>
    <w:rsid w:val="00DA09F2"/>
    <w:rsid w:val="00DA1593"/>
    <w:rsid w:val="00DA243A"/>
    <w:rsid w:val="00DA2C7E"/>
    <w:rsid w:val="00DA5FE4"/>
    <w:rsid w:val="00DA7A03"/>
    <w:rsid w:val="00DB1818"/>
    <w:rsid w:val="00DB3BE5"/>
    <w:rsid w:val="00DB444B"/>
    <w:rsid w:val="00DB5C91"/>
    <w:rsid w:val="00DB5FD8"/>
    <w:rsid w:val="00DB7186"/>
    <w:rsid w:val="00DC146B"/>
    <w:rsid w:val="00DC1C8B"/>
    <w:rsid w:val="00DC309B"/>
    <w:rsid w:val="00DC4DA2"/>
    <w:rsid w:val="00DC5291"/>
    <w:rsid w:val="00DD20A8"/>
    <w:rsid w:val="00DD40A9"/>
    <w:rsid w:val="00DD4EE9"/>
    <w:rsid w:val="00DD53C0"/>
    <w:rsid w:val="00DE404D"/>
    <w:rsid w:val="00DE757F"/>
    <w:rsid w:val="00DE7D8C"/>
    <w:rsid w:val="00DF0F19"/>
    <w:rsid w:val="00DF2732"/>
    <w:rsid w:val="00DF4AD0"/>
    <w:rsid w:val="00DF60DB"/>
    <w:rsid w:val="00E053E1"/>
    <w:rsid w:val="00E06D33"/>
    <w:rsid w:val="00E077D8"/>
    <w:rsid w:val="00E07831"/>
    <w:rsid w:val="00E10381"/>
    <w:rsid w:val="00E12DAC"/>
    <w:rsid w:val="00E13F87"/>
    <w:rsid w:val="00E17960"/>
    <w:rsid w:val="00E22A8A"/>
    <w:rsid w:val="00E2535E"/>
    <w:rsid w:val="00E26844"/>
    <w:rsid w:val="00E3347C"/>
    <w:rsid w:val="00E338CF"/>
    <w:rsid w:val="00E41817"/>
    <w:rsid w:val="00E41B57"/>
    <w:rsid w:val="00E45C4D"/>
    <w:rsid w:val="00E46555"/>
    <w:rsid w:val="00E5071A"/>
    <w:rsid w:val="00E52175"/>
    <w:rsid w:val="00E55C02"/>
    <w:rsid w:val="00E55FFA"/>
    <w:rsid w:val="00E569A4"/>
    <w:rsid w:val="00E61481"/>
    <w:rsid w:val="00E62835"/>
    <w:rsid w:val="00E62C79"/>
    <w:rsid w:val="00E65380"/>
    <w:rsid w:val="00E679E0"/>
    <w:rsid w:val="00E70506"/>
    <w:rsid w:val="00E77645"/>
    <w:rsid w:val="00E819C5"/>
    <w:rsid w:val="00E8744B"/>
    <w:rsid w:val="00E928A3"/>
    <w:rsid w:val="00EA22F8"/>
    <w:rsid w:val="00EA45DC"/>
    <w:rsid w:val="00EA48A9"/>
    <w:rsid w:val="00EA5774"/>
    <w:rsid w:val="00EA6499"/>
    <w:rsid w:val="00EA6EBB"/>
    <w:rsid w:val="00EB0BA3"/>
    <w:rsid w:val="00EB4384"/>
    <w:rsid w:val="00EB46A1"/>
    <w:rsid w:val="00EB60BA"/>
    <w:rsid w:val="00EC3973"/>
    <w:rsid w:val="00EC4A25"/>
    <w:rsid w:val="00EC4A71"/>
    <w:rsid w:val="00EC5D12"/>
    <w:rsid w:val="00EC6ACB"/>
    <w:rsid w:val="00EC7F98"/>
    <w:rsid w:val="00ED0EFF"/>
    <w:rsid w:val="00ED2CF8"/>
    <w:rsid w:val="00ED72C6"/>
    <w:rsid w:val="00ED7B26"/>
    <w:rsid w:val="00EE13A8"/>
    <w:rsid w:val="00EE1B94"/>
    <w:rsid w:val="00EE2D28"/>
    <w:rsid w:val="00EE6986"/>
    <w:rsid w:val="00EF0BCB"/>
    <w:rsid w:val="00EF115B"/>
    <w:rsid w:val="00EF6088"/>
    <w:rsid w:val="00EF628F"/>
    <w:rsid w:val="00EF66EB"/>
    <w:rsid w:val="00F025A2"/>
    <w:rsid w:val="00F0430E"/>
    <w:rsid w:val="00F069F1"/>
    <w:rsid w:val="00F076C8"/>
    <w:rsid w:val="00F07719"/>
    <w:rsid w:val="00F13D6C"/>
    <w:rsid w:val="00F16632"/>
    <w:rsid w:val="00F17F82"/>
    <w:rsid w:val="00F2026E"/>
    <w:rsid w:val="00F21F3E"/>
    <w:rsid w:val="00F2210A"/>
    <w:rsid w:val="00F22463"/>
    <w:rsid w:val="00F37743"/>
    <w:rsid w:val="00F418AD"/>
    <w:rsid w:val="00F41BFB"/>
    <w:rsid w:val="00F42D7E"/>
    <w:rsid w:val="00F4454A"/>
    <w:rsid w:val="00F50F3A"/>
    <w:rsid w:val="00F54A3D"/>
    <w:rsid w:val="00F54E21"/>
    <w:rsid w:val="00F57E74"/>
    <w:rsid w:val="00F6125C"/>
    <w:rsid w:val="00F62028"/>
    <w:rsid w:val="00F64AC5"/>
    <w:rsid w:val="00F64E0B"/>
    <w:rsid w:val="00F653B8"/>
    <w:rsid w:val="00F65F5C"/>
    <w:rsid w:val="00F66C0C"/>
    <w:rsid w:val="00F670C2"/>
    <w:rsid w:val="00F70B41"/>
    <w:rsid w:val="00F76C5A"/>
    <w:rsid w:val="00F76F8F"/>
    <w:rsid w:val="00F82690"/>
    <w:rsid w:val="00F8275A"/>
    <w:rsid w:val="00F83D09"/>
    <w:rsid w:val="00F873D2"/>
    <w:rsid w:val="00F9036B"/>
    <w:rsid w:val="00F92CEA"/>
    <w:rsid w:val="00F93027"/>
    <w:rsid w:val="00F94011"/>
    <w:rsid w:val="00F943E1"/>
    <w:rsid w:val="00F945CE"/>
    <w:rsid w:val="00F97736"/>
    <w:rsid w:val="00F97803"/>
    <w:rsid w:val="00FA1266"/>
    <w:rsid w:val="00FA17D9"/>
    <w:rsid w:val="00FB3FA5"/>
    <w:rsid w:val="00FB5E21"/>
    <w:rsid w:val="00FB7070"/>
    <w:rsid w:val="00FC0DD1"/>
    <w:rsid w:val="00FC1192"/>
    <w:rsid w:val="00FC526A"/>
    <w:rsid w:val="00FD0853"/>
    <w:rsid w:val="00FD67AC"/>
    <w:rsid w:val="00FE0650"/>
    <w:rsid w:val="00FE1752"/>
    <w:rsid w:val="00FE2AB4"/>
    <w:rsid w:val="00FE36C1"/>
    <w:rsid w:val="00FE3864"/>
    <w:rsid w:val="00FE40AD"/>
    <w:rsid w:val="00FE724C"/>
    <w:rsid w:val="00FF0944"/>
    <w:rsid w:val="00FF1402"/>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5350187F"/>
  <w15:chartTrackingRefBased/>
  <w15:docId w15:val="{77715436-FB6F-45E0-AB3A-E6B5130FD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numbering" w:customStyle="1" w:styleId="NoList1">
    <w:name w:val="No List1"/>
    <w:next w:val="NoList"/>
    <w:uiPriority w:val="99"/>
    <w:semiHidden/>
    <w:unhideWhenUsed/>
    <w:rsid w:val="00BF6BFD"/>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rsid w:val="00BF6BFD"/>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BF6BFD"/>
  </w:style>
  <w:style w:type="numbering" w:customStyle="1" w:styleId="NoList11">
    <w:name w:val="No List11"/>
    <w:next w:val="NoList"/>
    <w:uiPriority w:val="99"/>
    <w:semiHidden/>
    <w:unhideWhenUsed/>
    <w:rsid w:val="00BC4E5B"/>
  </w:style>
  <w:style w:type="numbering" w:customStyle="1" w:styleId="NoList3">
    <w:name w:val="No List3"/>
    <w:next w:val="NoList"/>
    <w:uiPriority w:val="99"/>
    <w:semiHidden/>
    <w:unhideWhenUsed/>
    <w:rsid w:val="00BC4E5B"/>
  </w:style>
  <w:style w:type="paragraph" w:customStyle="1" w:styleId="3GPPHeader">
    <w:name w:val="3GPP_Header"/>
    <w:basedOn w:val="Normal"/>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semiHidden/>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5AIRPNAIUNRU-1156379521-3077</_dlc_DocId>
    <_dlc_DocIdUrl xmlns="71c5aaf6-e6ce-465b-b873-5148d2a4c105">
      <Url>https://nokia.sharepoint.com/sites/c5g/e2earch/_layouts/15/DocIdRedir.aspx?ID=5AIRPNAIUNRU-1156379521-3077</Url>
      <Description>5AIRPNAIUNRU-1156379521-3077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2.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3.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4.xml><?xml version="1.0" encoding="utf-8"?>
<ds:datastoreItem xmlns:ds="http://schemas.openxmlformats.org/officeDocument/2006/customXml" ds:itemID="{5FE7672C-FA7A-4E5C-8DA8-C90384207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FBBBA0-0AA6-4D5B-9D8C-99149E372B94}">
  <ds:schemaRefs>
    <ds:schemaRef ds:uri="http://www.w3.org/XML/1998/namespace"/>
    <ds:schemaRef ds:uri="http://schemas.openxmlformats.org/package/2006/metadata/core-properties"/>
    <ds:schemaRef ds:uri="a3840f4f-04be-43d1-b2ef-6ff1382503c7"/>
    <ds:schemaRef ds:uri="71c5aaf6-e6ce-465b-b873-5148d2a4c105"/>
    <ds:schemaRef ds:uri="http://schemas.microsoft.com/office/2006/documentManagement/types"/>
    <ds:schemaRef ds:uri="http://purl.org/dc/elements/1.1/"/>
    <ds:schemaRef ds:uri="http://schemas.microsoft.com/office/2006/metadata/properties"/>
    <ds:schemaRef ds:uri="http://schemas.microsoft.com/office/infopath/2007/PartnerControls"/>
    <ds:schemaRef ds:uri="3b34c8f0-1ef5-4d1e-bb66-517ce7fe7356"/>
    <ds:schemaRef ds:uri="b1e1cf1a-759b-4612-9ceb-2888e9efb08a"/>
    <ds:schemaRef ds:uri="http://purl.org/dc/dcmitype/"/>
    <ds:schemaRef ds:uri="http://purl.org/dc/terms/"/>
  </ds:schemaRefs>
</ds:datastoreItem>
</file>

<file path=customXml/itemProps6.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7.xml><?xml version="1.0" encoding="utf-8"?>
<ds:datastoreItem xmlns:ds="http://schemas.openxmlformats.org/officeDocument/2006/customXml" ds:itemID="{9B349A26-8419-43FF-8BCB-F8C7620E71E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1820</Words>
  <Characters>10378</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Discussion on the arguments against Xw</vt:lpstr>
      <vt:lpstr>Discussion on the arguments against Xw</vt:lpstr>
    </vt:vector>
  </TitlesOfParts>
  <Company>Nokia, Alcatel-Lucent Shanghai Bell</Company>
  <LinksUpToDate>false</LinksUpToDate>
  <CharactersWithSpaces>12174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cp:lastModifiedBy>Nokia</cp:lastModifiedBy>
  <cp:revision>2</cp:revision>
  <dcterms:created xsi:type="dcterms:W3CDTF">2022-09-27T20:48:00Z</dcterms:created>
  <dcterms:modified xsi:type="dcterms:W3CDTF">2022-09-27T20:48:00Z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fdf955ad-03ee-47af-bae6-a9f5f5df9a2f</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0x010100518683DDB4CB714487F91A3B9BBBA0AA</vt:lpwstr>
  </property>
</Properties>
</file>